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91709" w14:textId="1EF04C0A" w:rsidR="005A5430" w:rsidRPr="005A5430" w:rsidRDefault="005A5430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54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Lei nº 626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5A54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0C3A6DF5" w14:textId="77777777" w:rsidR="005A5430" w:rsidRPr="005A5430" w:rsidRDefault="005A5430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67F00" w14:textId="70149664" w:rsidR="004272E2" w:rsidRPr="005A5430" w:rsidRDefault="004272E2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430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5A5430" w:rsidRPr="005A54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5430">
        <w:rPr>
          <w:rFonts w:ascii="Times New Roman" w:hAnsi="Times New Roman" w:cs="Times New Roman"/>
          <w:b/>
          <w:bCs/>
          <w:sz w:val="24"/>
          <w:szCs w:val="24"/>
        </w:rPr>
        <w:t>495/</w:t>
      </w:r>
      <w:r w:rsidR="005A5430" w:rsidRPr="005A543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A5430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5A5430" w:rsidRPr="005A543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A5430">
        <w:rPr>
          <w:rFonts w:ascii="Times New Roman" w:hAnsi="Times New Roman" w:cs="Times New Roman"/>
          <w:b/>
          <w:bCs/>
          <w:sz w:val="24"/>
          <w:szCs w:val="24"/>
        </w:rPr>
        <w:t>27 DE JUNHO DE 1996</w:t>
      </w:r>
    </w:p>
    <w:p w14:paraId="11C2E5C4" w14:textId="77777777" w:rsidR="004272E2" w:rsidRPr="00AA07C1" w:rsidRDefault="004272E2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F53D9B" w14:textId="77777777" w:rsidR="004272E2" w:rsidRPr="00AA07C1" w:rsidRDefault="004272E2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SÚMULA: ESTABELECE NOVAS MUDANÇAS NA LEI DA PREVIDENCIA, E DÁ OUTRAS PROVIDÊNCIAS.</w:t>
      </w:r>
    </w:p>
    <w:p w14:paraId="6749665B" w14:textId="77777777" w:rsidR="004272E2" w:rsidRPr="00AA07C1" w:rsidRDefault="004272E2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E8A56D" w14:textId="77777777" w:rsidR="004272E2" w:rsidRPr="00AA07C1" w:rsidRDefault="004272E2" w:rsidP="005A543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491EFD72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EDD6C1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5489DE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Art. 1º - Fica alterado na Lei n.º 175/90 de 11 de dezembro de 1990, os Artigos 25 e 26.</w:t>
      </w:r>
    </w:p>
    <w:p w14:paraId="0D3A0F19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61F8E5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Art. 2º - No Artigo 25 será revogado o Parágrafo único permanecendo inalterado seu caput.</w:t>
      </w:r>
    </w:p>
    <w:p w14:paraId="54960F41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D414F2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Art. 3º - Será dada nova redação que passa a ser a seguinte:</w:t>
      </w:r>
    </w:p>
    <w:p w14:paraId="323443B5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164EA6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“Art. 26 – O beneficiário que utilizar serviços médicos/hospitalares não credenciado não terá direito a nenhum reembolso das despesas realizadas desde que a Previdência, mantenha convenio e ou plano de saúde contratado para este fim, nos termos da Legislação Vigente.”</w:t>
      </w:r>
    </w:p>
    <w:p w14:paraId="64D3EC40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1B4B10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Par. Único – Nos procedimentos que houver carência do Plano de Saúde contratado, a Previdência Municipal reembolsará o percentual de 50% (cinqüenta por cento) ao previdenciário durante a vigência da carência.</w:t>
      </w:r>
    </w:p>
    <w:p w14:paraId="7F1B694B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A36332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Art. 4º - Esta Lei entrará em vigor na data de sua Publicação, revogadas as disposições em contrário.</w:t>
      </w:r>
    </w:p>
    <w:p w14:paraId="6C21663A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5BC2F1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528BC4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27 DE JUNHO DE 1996.</w:t>
      </w:r>
    </w:p>
    <w:p w14:paraId="20C8AD7B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B401E7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0DB9D9EE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DEA3F3A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0E885DA7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207D9162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C3F1B8B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6C106D26" w14:textId="77777777" w:rsidR="004272E2" w:rsidRPr="00AA07C1" w:rsidRDefault="004272E2" w:rsidP="00427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4D3839D9" w14:textId="77777777" w:rsidR="00522440" w:rsidRPr="00AA07C1" w:rsidRDefault="004272E2" w:rsidP="004272E2">
      <w:pPr>
        <w:rPr>
          <w:strike/>
          <w:sz w:val="24"/>
          <w:szCs w:val="24"/>
        </w:rPr>
      </w:pPr>
      <w:r w:rsidRPr="00AA07C1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522440" w:rsidRPr="00AA07C1" w:rsidSect="004272E2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E2"/>
    <w:rsid w:val="004272E2"/>
    <w:rsid w:val="00522440"/>
    <w:rsid w:val="005A5430"/>
    <w:rsid w:val="00A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F239"/>
  <w15:chartTrackingRefBased/>
  <w15:docId w15:val="{D870D8FF-5728-4B09-8E79-E6067F07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2018-03-01T15:04:00Z</dcterms:created>
  <dcterms:modified xsi:type="dcterms:W3CDTF">2020-06-26T12:24:00Z</dcterms:modified>
</cp:coreProperties>
</file>