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404CD" w14:textId="2FCD8D56" w:rsidR="00A86B0F" w:rsidRPr="00A86B0F" w:rsidRDefault="00A86B0F" w:rsidP="00A86B0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86B0F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18/2004</w:t>
      </w:r>
    </w:p>
    <w:p w14:paraId="7BB3F315" w14:textId="77777777" w:rsidR="00A86B0F" w:rsidRDefault="00A86B0F" w:rsidP="00A86B0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9E3E858" w14:textId="4495DCBB" w:rsidR="000C1AEB" w:rsidRPr="00E17616" w:rsidRDefault="000C1AEB" w:rsidP="00A86B0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616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E17616" w:rsidRPr="00E1761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17616">
        <w:rPr>
          <w:rFonts w:ascii="Times New Roman" w:hAnsi="Times New Roman" w:cs="Times New Roman"/>
          <w:b/>
          <w:bCs/>
          <w:sz w:val="24"/>
          <w:szCs w:val="24"/>
        </w:rPr>
        <w:t>404/</w:t>
      </w:r>
      <w:r w:rsidR="00E17616" w:rsidRPr="00E1761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E17616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E17616" w:rsidRPr="00E17616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E17616">
        <w:rPr>
          <w:rFonts w:ascii="Times New Roman" w:hAnsi="Times New Roman" w:cs="Times New Roman"/>
          <w:b/>
          <w:bCs/>
          <w:sz w:val="24"/>
          <w:szCs w:val="24"/>
        </w:rPr>
        <w:t>04 DE ABRIL DE 1995</w:t>
      </w:r>
    </w:p>
    <w:p w14:paraId="7755419F" w14:textId="77777777" w:rsidR="000C1AEB" w:rsidRPr="000C1AEB" w:rsidRDefault="000C1AEB" w:rsidP="00A86B0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CC35FCF" w14:textId="77777777" w:rsidR="000C1AEB" w:rsidRPr="00915F43" w:rsidRDefault="000C1AEB" w:rsidP="00A86B0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SÚMULA: ISENTA OBRIGATORIEDADE DE PROJETO QUE ESPECIFICA, E DÁ OUTRAS PROVIDÊNCIAS.</w:t>
      </w:r>
    </w:p>
    <w:p w14:paraId="0E3F432C" w14:textId="77777777" w:rsidR="000C1AEB" w:rsidRPr="00915F43" w:rsidRDefault="000C1AEB" w:rsidP="00A86B0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00A097" w14:textId="77777777" w:rsidR="000C1AEB" w:rsidRPr="00915F43" w:rsidRDefault="000C1AEB" w:rsidP="00A86B0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2F1D7DC6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6EE242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DEAC2D6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Art. 1º - Ficam isentos de projetos, as edificações residenciais em alvenaria, com área igual ou inferior a 63,00 m2 (sessenta e três metros quadrados), quando edificadas nos bairros populares.</w:t>
      </w:r>
    </w:p>
    <w:p w14:paraId="424162CF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787B96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Art. 2º - Os proprietários das edificações de que trata o Artigo anterior, deverão apresentar o croqui da obra, com a localização para efeitos de cobranças de taxas e fiscalização.</w:t>
      </w:r>
    </w:p>
    <w:p w14:paraId="662A01E8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980801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Parágrafo Único – O departamento de engenharia da Prefeitura Municipal, elaborará croqui padrão para as edificações de que trata o caput deste artigo, e doará aos interessados isentos da taxa de aprovação e habite-se.</w:t>
      </w:r>
    </w:p>
    <w:p w14:paraId="07780FB1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3FEC08F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Art. 3º - Considera-se popular para efeitos de aplicação da presente Lei, os bairros com terrenos de metragem igual ou inferior a 400 m2 (quatrocentos metros quadrados).</w:t>
      </w:r>
    </w:p>
    <w:p w14:paraId="7F2DFDD2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6F5342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Art. 4º - Esta Lei entrará em vigor na data de sua Publicação, revogadas as disposições em contrário.</w:t>
      </w:r>
    </w:p>
    <w:p w14:paraId="23D9C918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046772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01766D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04 DE ABRIL DE 1995.</w:t>
      </w:r>
    </w:p>
    <w:p w14:paraId="642910BB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673CDAC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73A5FCFF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E7C7B6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73E55B5E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40EF2593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815F21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2B4FF3" w14:textId="77777777" w:rsidR="000C1AEB" w:rsidRPr="00915F43" w:rsidRDefault="000C1AEB" w:rsidP="000C1A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57A70ABF" w14:textId="77777777" w:rsidR="0074406D" w:rsidRPr="00915F43" w:rsidRDefault="000C1AEB" w:rsidP="000C1AEB">
      <w:pPr>
        <w:ind w:firstLine="1418"/>
        <w:jc w:val="both"/>
        <w:rPr>
          <w:strike/>
          <w:sz w:val="24"/>
          <w:szCs w:val="24"/>
        </w:rPr>
      </w:pPr>
      <w:r w:rsidRPr="00915F43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74406D" w:rsidRPr="00915F43" w:rsidSect="000C1AEB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EB"/>
    <w:rsid w:val="000C1AEB"/>
    <w:rsid w:val="00591ECD"/>
    <w:rsid w:val="0074406D"/>
    <w:rsid w:val="00915F43"/>
    <w:rsid w:val="00A86B0F"/>
    <w:rsid w:val="00E1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18C8"/>
  <w15:chartTrackingRefBased/>
  <w15:docId w15:val="{A19EF88C-6BF1-4765-B7B8-44DCC02B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9</cp:revision>
  <dcterms:created xsi:type="dcterms:W3CDTF">2018-02-21T14:22:00Z</dcterms:created>
  <dcterms:modified xsi:type="dcterms:W3CDTF">2020-06-25T12:52:00Z</dcterms:modified>
</cp:coreProperties>
</file>