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3A7D2D">
        <w:rPr>
          <w:rFonts w:ascii="Times New Roman" w:hAnsi="Times New Roman"/>
          <w:szCs w:val="24"/>
        </w:rPr>
        <w:t>185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3A7D2D">
        <w:rPr>
          <w:rFonts w:ascii="Times New Roman" w:hAnsi="Times New Roman"/>
          <w:b w:val="0"/>
          <w:bCs w:val="0"/>
        </w:rPr>
        <w:t>24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3A7D2D">
        <w:rPr>
          <w:rFonts w:ascii="Times New Roman" w:hAnsi="Times New Roman"/>
          <w:b w:val="0"/>
          <w:bCs w:val="0"/>
        </w:rPr>
        <w:t>novembro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3A7D2D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7917DA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7917DA">
        <w:t>arecer da Comissão de Avaliação;</w:t>
      </w:r>
    </w:p>
    <w:p w:rsidR="00030A61" w:rsidRPr="00EF73E0" w:rsidRDefault="003A7D2D" w:rsidP="0025603B">
      <w:pPr>
        <w:numPr>
          <w:ilvl w:val="0"/>
          <w:numId w:val="58"/>
        </w:numPr>
        <w:ind w:left="0" w:firstLine="1418"/>
        <w:jc w:val="both"/>
      </w:pPr>
      <w:r>
        <w:t>Considerando a Portaria</w:t>
      </w:r>
      <w:r w:rsidR="00030A61">
        <w:t xml:space="preserve"> 1</w:t>
      </w:r>
      <w:r>
        <w:t>62</w:t>
      </w:r>
      <w:r w:rsidR="00030A61">
        <w:t>/20</w:t>
      </w:r>
      <w:r>
        <w:t>20 que declara a estabilidade da</w:t>
      </w:r>
      <w:r w:rsidR="00030A61">
        <w:t xml:space="preserve"> servidor</w:t>
      </w:r>
      <w:r>
        <w:t>a</w:t>
      </w:r>
      <w:bookmarkStart w:id="0" w:name="_GoBack"/>
      <w:bookmarkEnd w:id="0"/>
      <w:r w:rsidR="00030A61">
        <w:t>.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 w:rsidR="003A7D2D">
        <w:t>a</w:t>
      </w:r>
      <w:r w:rsidRPr="00EF73E0">
        <w:t xml:space="preserve"> aprovad</w:t>
      </w:r>
      <w:r w:rsidR="003A7D2D">
        <w:t>a</w:t>
      </w:r>
      <w:r w:rsidRPr="00EF73E0">
        <w:t xml:space="preserve"> no processo de avaliação da seguinte forma:</w:t>
      </w:r>
    </w:p>
    <w:p w:rsidR="007917DA" w:rsidRDefault="007917DA" w:rsidP="0025603B">
      <w:pPr>
        <w:jc w:val="both"/>
      </w:pPr>
    </w:p>
    <w:p w:rsidR="007917DA" w:rsidRDefault="007917DA" w:rsidP="0025603B">
      <w:pPr>
        <w:jc w:val="both"/>
      </w:pPr>
      <w:r w:rsidRPr="007917DA">
        <w:rPr>
          <w:b/>
        </w:rPr>
        <w:t>Servidor</w:t>
      </w:r>
      <w:r w:rsidR="003A7D2D">
        <w:rPr>
          <w:b/>
        </w:rPr>
        <w:t>a</w:t>
      </w:r>
      <w:r>
        <w:t xml:space="preserve">: </w:t>
      </w:r>
      <w:r w:rsidR="003A7D2D">
        <w:t xml:space="preserve">Elis </w:t>
      </w:r>
      <w:proofErr w:type="spellStart"/>
      <w:r w:rsidR="003A7D2D">
        <w:t>Karem</w:t>
      </w:r>
      <w:proofErr w:type="spellEnd"/>
      <w:r w:rsidR="003A7D2D">
        <w:t xml:space="preserve"> </w:t>
      </w:r>
      <w:proofErr w:type="spellStart"/>
      <w:r w:rsidR="003A7D2D">
        <w:t>Cerutti</w:t>
      </w:r>
      <w:proofErr w:type="spellEnd"/>
    </w:p>
    <w:p w:rsidR="007917DA" w:rsidRDefault="007917DA" w:rsidP="0025603B">
      <w:pPr>
        <w:jc w:val="both"/>
      </w:pPr>
      <w:r w:rsidRPr="007917DA">
        <w:rPr>
          <w:b/>
        </w:rPr>
        <w:t>Cargo</w:t>
      </w:r>
      <w:r>
        <w:t xml:space="preserve">: </w:t>
      </w:r>
      <w:r w:rsidR="003A7D2D">
        <w:t>Procurador Jurídico</w:t>
      </w:r>
    </w:p>
    <w:p w:rsidR="007917DA" w:rsidRDefault="007917DA" w:rsidP="0025603B">
      <w:pPr>
        <w:jc w:val="both"/>
      </w:pPr>
      <w:r w:rsidRPr="007917DA">
        <w:rPr>
          <w:b/>
        </w:rPr>
        <w:t>Pontos</w:t>
      </w:r>
      <w:r w:rsidR="003A7D2D">
        <w:t>: 55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>: A-00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>: A-03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3A7D2D">
        <w:t>novembro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3A7D2D">
        <w:t>24</w:t>
      </w:r>
      <w:r w:rsidRPr="00EF73E0">
        <w:t xml:space="preserve"> de </w:t>
      </w:r>
      <w:r w:rsidR="003A7D2D">
        <w:t>novembro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Default="0025603B" w:rsidP="009335D9">
      <w:pPr>
        <w:jc w:val="center"/>
        <w:rPr>
          <w:b/>
          <w:bCs/>
        </w:rPr>
      </w:pPr>
    </w:p>
    <w:p w:rsidR="003A7D2D" w:rsidRDefault="003A7D2D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CB" w:rsidRDefault="00D83ACB">
      <w:r>
        <w:separator/>
      </w:r>
    </w:p>
  </w:endnote>
  <w:endnote w:type="continuationSeparator" w:id="0">
    <w:p w:rsidR="00D83ACB" w:rsidRDefault="00D8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CB" w:rsidRDefault="00D83ACB">
      <w:r>
        <w:separator/>
      </w:r>
    </w:p>
  </w:footnote>
  <w:footnote w:type="continuationSeparator" w:id="0">
    <w:p w:rsidR="00D83ACB" w:rsidRDefault="00D8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83ACB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771938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A7D2D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7DA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139C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ACB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A058-89B6-4949-9F58-5330BBD5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2019-04-11T15:05:00Z</cp:lastPrinted>
  <dcterms:created xsi:type="dcterms:W3CDTF">2019-04-11T15:06:00Z</dcterms:created>
  <dcterms:modified xsi:type="dcterms:W3CDTF">2020-11-24T14:37:00Z</dcterms:modified>
</cp:coreProperties>
</file>