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8B3" w:rsidRPr="00027A59" w:rsidRDefault="00E508B3" w:rsidP="00027A59">
      <w:pPr>
        <w:ind w:left="3402"/>
        <w:rPr>
          <w:b/>
          <w:sz w:val="22"/>
          <w:szCs w:val="22"/>
        </w:rPr>
      </w:pPr>
      <w:bookmarkStart w:id="0" w:name="_GoBack"/>
      <w:r w:rsidRPr="00027A59">
        <w:rPr>
          <w:b/>
          <w:sz w:val="22"/>
          <w:szCs w:val="22"/>
        </w:rPr>
        <w:t>EMENDA Nº 01</w:t>
      </w:r>
    </w:p>
    <w:p w:rsidR="00E508B3" w:rsidRPr="00027A59" w:rsidRDefault="00E508B3" w:rsidP="00027A59">
      <w:pPr>
        <w:ind w:left="3402"/>
        <w:rPr>
          <w:b/>
          <w:sz w:val="22"/>
          <w:szCs w:val="22"/>
        </w:rPr>
      </w:pPr>
    </w:p>
    <w:p w:rsidR="00E508B3" w:rsidRPr="00027A59" w:rsidRDefault="00E508B3" w:rsidP="00027A59">
      <w:pPr>
        <w:ind w:left="3402"/>
        <w:rPr>
          <w:b/>
          <w:sz w:val="22"/>
          <w:szCs w:val="22"/>
        </w:rPr>
      </w:pPr>
      <w:r w:rsidRPr="00027A59">
        <w:rPr>
          <w:b/>
          <w:sz w:val="22"/>
          <w:szCs w:val="22"/>
        </w:rPr>
        <w:t>ADITIVA AO PROJETO DE LEI Nº 96 /2021</w:t>
      </w:r>
    </w:p>
    <w:p w:rsidR="00E508B3" w:rsidRPr="00027A59" w:rsidRDefault="00E508B3" w:rsidP="00027A59">
      <w:pPr>
        <w:ind w:left="3402"/>
        <w:jc w:val="both"/>
        <w:rPr>
          <w:sz w:val="22"/>
          <w:szCs w:val="22"/>
        </w:rPr>
      </w:pPr>
    </w:p>
    <w:p w:rsidR="00E508B3" w:rsidRPr="00027A59" w:rsidRDefault="00E508B3" w:rsidP="00027A59">
      <w:pPr>
        <w:ind w:left="3402"/>
        <w:jc w:val="both"/>
        <w:rPr>
          <w:sz w:val="22"/>
          <w:szCs w:val="22"/>
        </w:rPr>
      </w:pPr>
    </w:p>
    <w:p w:rsidR="00E508B3" w:rsidRPr="00027A59" w:rsidRDefault="00E508B3" w:rsidP="00027A59">
      <w:pPr>
        <w:ind w:left="3402"/>
        <w:jc w:val="both"/>
        <w:rPr>
          <w:b/>
          <w:bCs/>
          <w:sz w:val="22"/>
          <w:szCs w:val="22"/>
        </w:rPr>
      </w:pPr>
      <w:r w:rsidRPr="00027A59">
        <w:rPr>
          <w:bCs/>
          <w:sz w:val="22"/>
          <w:szCs w:val="22"/>
        </w:rPr>
        <w:t>Data</w:t>
      </w:r>
      <w:r w:rsidRPr="00027A59">
        <w:rPr>
          <w:b/>
          <w:bCs/>
          <w:sz w:val="22"/>
          <w:szCs w:val="22"/>
        </w:rPr>
        <w:t xml:space="preserve">: </w:t>
      </w:r>
      <w:r w:rsidRPr="00027A59">
        <w:rPr>
          <w:bCs/>
          <w:sz w:val="22"/>
          <w:szCs w:val="22"/>
        </w:rPr>
        <w:t>2</w:t>
      </w:r>
      <w:r w:rsidRPr="00027A59">
        <w:rPr>
          <w:bCs/>
          <w:sz w:val="22"/>
          <w:szCs w:val="22"/>
        </w:rPr>
        <w:t>7</w:t>
      </w:r>
      <w:r w:rsidRPr="00027A59">
        <w:rPr>
          <w:bCs/>
          <w:sz w:val="22"/>
          <w:szCs w:val="22"/>
        </w:rPr>
        <w:t xml:space="preserve"> de outubro de 2021</w:t>
      </w:r>
    </w:p>
    <w:p w:rsidR="00E508B3" w:rsidRPr="00027A59" w:rsidRDefault="00E508B3" w:rsidP="00027A59">
      <w:pPr>
        <w:ind w:left="3402"/>
        <w:jc w:val="both"/>
        <w:rPr>
          <w:b/>
          <w:bCs/>
          <w:sz w:val="22"/>
          <w:szCs w:val="22"/>
        </w:rPr>
      </w:pPr>
    </w:p>
    <w:p w:rsidR="00E508B3" w:rsidRPr="00027A59" w:rsidRDefault="00E508B3" w:rsidP="00027A59">
      <w:pPr>
        <w:ind w:left="3402"/>
        <w:jc w:val="both"/>
        <w:rPr>
          <w:b/>
          <w:bCs/>
          <w:sz w:val="22"/>
          <w:szCs w:val="22"/>
        </w:rPr>
      </w:pPr>
    </w:p>
    <w:p w:rsidR="00E508B3" w:rsidRPr="00027A59" w:rsidRDefault="00E508B3" w:rsidP="00027A59">
      <w:pPr>
        <w:pStyle w:val="Recuodecorpodetexto"/>
        <w:ind w:left="3402"/>
        <w:rPr>
          <w:b w:val="0"/>
          <w:sz w:val="22"/>
          <w:szCs w:val="22"/>
          <w:lang w:val="pt-BR"/>
        </w:rPr>
      </w:pPr>
      <w:r w:rsidRPr="00027A59">
        <w:rPr>
          <w:b w:val="0"/>
          <w:sz w:val="22"/>
          <w:szCs w:val="22"/>
          <w:lang w:val="pt-BR"/>
        </w:rPr>
        <w:t xml:space="preserve">Cria </w:t>
      </w:r>
      <w:r w:rsidRPr="00027A59">
        <w:rPr>
          <w:b w:val="0"/>
          <w:sz w:val="22"/>
          <w:szCs w:val="22"/>
        </w:rPr>
        <w:t>dispositivos</w:t>
      </w:r>
      <w:r w:rsidRPr="00027A59">
        <w:rPr>
          <w:b w:val="0"/>
          <w:bCs w:val="0"/>
          <w:sz w:val="22"/>
          <w:szCs w:val="22"/>
        </w:rPr>
        <w:t xml:space="preserve"> ao Projeto de L</w:t>
      </w:r>
      <w:r w:rsidRPr="00027A59">
        <w:rPr>
          <w:b w:val="0"/>
          <w:sz w:val="22"/>
          <w:szCs w:val="22"/>
        </w:rPr>
        <w:t>ei nº 96</w:t>
      </w:r>
      <w:r w:rsidRPr="00027A59">
        <w:rPr>
          <w:b w:val="0"/>
          <w:bCs w:val="0"/>
          <w:sz w:val="22"/>
          <w:szCs w:val="22"/>
        </w:rPr>
        <w:t>/2021,</w:t>
      </w:r>
      <w:r w:rsidRPr="00027A59">
        <w:rPr>
          <w:bCs w:val="0"/>
          <w:sz w:val="22"/>
          <w:szCs w:val="22"/>
        </w:rPr>
        <w:t xml:space="preserve"> </w:t>
      </w:r>
      <w:r w:rsidRPr="00027A59">
        <w:rPr>
          <w:b w:val="0"/>
          <w:sz w:val="22"/>
          <w:szCs w:val="22"/>
          <w:lang w:val="pt-BR"/>
        </w:rPr>
        <w:t>que: “</w:t>
      </w:r>
      <w:r w:rsidRPr="00027A59">
        <w:rPr>
          <w:b w:val="0"/>
          <w:sz w:val="22"/>
          <w:szCs w:val="22"/>
        </w:rPr>
        <w:t>Dispõe sobre as Diretrizes para a elaboração da Lei Orçamentária de 20</w:t>
      </w:r>
      <w:r w:rsidRPr="00027A59">
        <w:rPr>
          <w:b w:val="0"/>
          <w:sz w:val="22"/>
          <w:szCs w:val="22"/>
          <w:lang w:val="pt-BR"/>
        </w:rPr>
        <w:t>22</w:t>
      </w:r>
      <w:r w:rsidRPr="00027A59">
        <w:rPr>
          <w:b w:val="0"/>
          <w:sz w:val="22"/>
          <w:szCs w:val="22"/>
        </w:rPr>
        <w:t>, e dá outras providências</w:t>
      </w:r>
      <w:r w:rsidRPr="00027A59">
        <w:rPr>
          <w:b w:val="0"/>
          <w:sz w:val="22"/>
          <w:szCs w:val="22"/>
          <w:lang w:val="pt-BR"/>
        </w:rPr>
        <w:t>”</w:t>
      </w:r>
      <w:r w:rsidRPr="00027A59">
        <w:rPr>
          <w:b w:val="0"/>
          <w:sz w:val="22"/>
          <w:szCs w:val="22"/>
        </w:rPr>
        <w:t>.</w:t>
      </w:r>
    </w:p>
    <w:p w:rsidR="00E508B3" w:rsidRPr="00027A59" w:rsidRDefault="00E508B3" w:rsidP="00027A59">
      <w:pPr>
        <w:ind w:left="3402"/>
        <w:jc w:val="both"/>
        <w:rPr>
          <w:b/>
          <w:sz w:val="22"/>
          <w:szCs w:val="22"/>
        </w:rPr>
      </w:pPr>
    </w:p>
    <w:p w:rsidR="00E508B3" w:rsidRPr="00027A59" w:rsidRDefault="00E508B3" w:rsidP="00027A59">
      <w:pPr>
        <w:pStyle w:val="Recuodecorpodetexto"/>
        <w:ind w:left="3402"/>
        <w:rPr>
          <w:b w:val="0"/>
          <w:sz w:val="22"/>
          <w:szCs w:val="22"/>
          <w:lang w:val="pt-BR"/>
        </w:rPr>
      </w:pPr>
    </w:p>
    <w:p w:rsidR="00E508B3" w:rsidRPr="00027A59" w:rsidRDefault="00E508B3" w:rsidP="00027A59">
      <w:pPr>
        <w:pStyle w:val="Recuodecorpodetexto"/>
        <w:ind w:left="3402"/>
        <w:rPr>
          <w:b w:val="0"/>
          <w:bCs w:val="0"/>
          <w:sz w:val="22"/>
          <w:szCs w:val="22"/>
        </w:rPr>
      </w:pPr>
      <w:r w:rsidRPr="00027A59">
        <w:rPr>
          <w:sz w:val="22"/>
          <w:szCs w:val="22"/>
          <w:lang w:val="pt-BR"/>
        </w:rPr>
        <w:t>CELSO KOZAK</w:t>
      </w:r>
      <w:r w:rsidRPr="00027A59">
        <w:rPr>
          <w:sz w:val="22"/>
          <w:szCs w:val="22"/>
          <w:lang w:val="pt-BR"/>
        </w:rPr>
        <w:t xml:space="preserve"> </w:t>
      </w:r>
      <w:r w:rsidRPr="00027A59">
        <w:rPr>
          <w:sz w:val="22"/>
          <w:szCs w:val="22"/>
          <w:lang w:val="pt-BR"/>
        </w:rPr>
        <w:t>– PSDB</w:t>
      </w:r>
      <w:r w:rsidRPr="00027A59">
        <w:rPr>
          <w:b w:val="0"/>
          <w:sz w:val="22"/>
          <w:szCs w:val="22"/>
          <w:lang w:val="pt-BR"/>
        </w:rPr>
        <w:t xml:space="preserve"> e vereadores</w:t>
      </w:r>
      <w:r w:rsidRPr="00027A59">
        <w:rPr>
          <w:b w:val="0"/>
          <w:sz w:val="22"/>
          <w:szCs w:val="22"/>
        </w:rPr>
        <w:t xml:space="preserve"> </w:t>
      </w:r>
      <w:r w:rsidRPr="00027A59">
        <w:rPr>
          <w:b w:val="0"/>
          <w:sz w:val="22"/>
          <w:szCs w:val="22"/>
          <w:lang w:val="pt-BR"/>
        </w:rPr>
        <w:t>abaixo assinado</w:t>
      </w:r>
      <w:r w:rsidRPr="00027A59">
        <w:rPr>
          <w:b w:val="0"/>
          <w:sz w:val="22"/>
          <w:szCs w:val="22"/>
          <w:lang w:val="pt-BR"/>
        </w:rPr>
        <w:t>s</w:t>
      </w:r>
      <w:r w:rsidRPr="00027A59">
        <w:rPr>
          <w:b w:val="0"/>
          <w:sz w:val="22"/>
          <w:szCs w:val="22"/>
          <w:lang w:val="pt-BR"/>
        </w:rPr>
        <w:t xml:space="preserve">, </w:t>
      </w:r>
      <w:r w:rsidRPr="00027A59">
        <w:rPr>
          <w:b w:val="0"/>
          <w:sz w:val="22"/>
          <w:szCs w:val="22"/>
        </w:rPr>
        <w:t xml:space="preserve">com assento nesta Casa, </w:t>
      </w:r>
      <w:r w:rsidRPr="00027A59">
        <w:rPr>
          <w:b w:val="0"/>
          <w:bCs w:val="0"/>
          <w:sz w:val="22"/>
          <w:szCs w:val="22"/>
        </w:rPr>
        <w:t>com fulcro no §</w:t>
      </w:r>
      <w:r w:rsidRPr="00027A59">
        <w:rPr>
          <w:b w:val="0"/>
          <w:bCs w:val="0"/>
          <w:sz w:val="22"/>
          <w:szCs w:val="22"/>
          <w:lang w:val="pt-BR"/>
        </w:rPr>
        <w:t xml:space="preserve"> 4º</w:t>
      </w:r>
      <w:r w:rsidRPr="00027A59">
        <w:rPr>
          <w:b w:val="0"/>
          <w:bCs w:val="0"/>
          <w:sz w:val="22"/>
          <w:szCs w:val="22"/>
        </w:rPr>
        <w:t xml:space="preserve"> do Artigo 126 do Regimento Interno, encaminha</w:t>
      </w:r>
      <w:r w:rsidRPr="00027A59">
        <w:rPr>
          <w:b w:val="0"/>
          <w:bCs w:val="0"/>
          <w:sz w:val="22"/>
          <w:szCs w:val="22"/>
          <w:lang w:val="pt-BR"/>
        </w:rPr>
        <w:t>m</w:t>
      </w:r>
      <w:r w:rsidRPr="00027A59">
        <w:rPr>
          <w:b w:val="0"/>
          <w:bCs w:val="0"/>
          <w:sz w:val="22"/>
          <w:szCs w:val="22"/>
        </w:rPr>
        <w:t xml:space="preserve"> para deliberação do Soberano Plenário, a seguinte Emenda</w:t>
      </w:r>
      <w:r w:rsidRPr="00027A59">
        <w:rPr>
          <w:b w:val="0"/>
          <w:bCs w:val="0"/>
          <w:sz w:val="22"/>
          <w:szCs w:val="22"/>
          <w:lang w:val="pt-BR"/>
        </w:rPr>
        <w:t xml:space="preserve"> Aditiva </w:t>
      </w:r>
      <w:r w:rsidRPr="00027A59">
        <w:rPr>
          <w:b w:val="0"/>
          <w:bCs w:val="0"/>
          <w:sz w:val="22"/>
          <w:szCs w:val="22"/>
        </w:rPr>
        <w:t xml:space="preserve">ao Projeto de Lei nº </w:t>
      </w:r>
      <w:r w:rsidRPr="00027A59">
        <w:rPr>
          <w:b w:val="0"/>
          <w:bCs w:val="0"/>
          <w:sz w:val="22"/>
          <w:szCs w:val="22"/>
          <w:lang w:val="pt-BR"/>
        </w:rPr>
        <w:t>96/2021</w:t>
      </w:r>
      <w:r w:rsidRPr="00027A59">
        <w:rPr>
          <w:b w:val="0"/>
          <w:bCs w:val="0"/>
          <w:sz w:val="22"/>
          <w:szCs w:val="22"/>
        </w:rPr>
        <w:t>:</w:t>
      </w:r>
    </w:p>
    <w:p w:rsidR="00E508B3" w:rsidRPr="00027A59" w:rsidRDefault="00E508B3" w:rsidP="00E508B3">
      <w:pPr>
        <w:jc w:val="both"/>
        <w:rPr>
          <w:sz w:val="22"/>
          <w:szCs w:val="22"/>
        </w:rPr>
      </w:pPr>
    </w:p>
    <w:p w:rsidR="00E508B3" w:rsidRPr="00027A59" w:rsidRDefault="00E508B3" w:rsidP="00E508B3">
      <w:pPr>
        <w:jc w:val="both"/>
        <w:rPr>
          <w:sz w:val="22"/>
          <w:szCs w:val="22"/>
        </w:rPr>
      </w:pPr>
    </w:p>
    <w:p w:rsidR="00E508B3" w:rsidRPr="00027A59" w:rsidRDefault="00E508B3" w:rsidP="00027A59">
      <w:pPr>
        <w:ind w:firstLine="1418"/>
        <w:jc w:val="both"/>
        <w:rPr>
          <w:sz w:val="22"/>
          <w:szCs w:val="22"/>
        </w:rPr>
      </w:pPr>
      <w:r w:rsidRPr="00027A59">
        <w:rPr>
          <w:sz w:val="22"/>
          <w:szCs w:val="22"/>
        </w:rPr>
        <w:t>Art. 1</w:t>
      </w:r>
      <w:r w:rsidRPr="00027A59">
        <w:rPr>
          <w:color w:val="000000"/>
          <w:sz w:val="22"/>
          <w:szCs w:val="22"/>
          <w:vertAlign w:val="superscript"/>
        </w:rPr>
        <w:t xml:space="preserve"> </w:t>
      </w:r>
      <w:r w:rsidRPr="00027A59">
        <w:rPr>
          <w:color w:val="000000"/>
          <w:sz w:val="22"/>
          <w:szCs w:val="22"/>
          <w:u w:val="single"/>
          <w:vertAlign w:val="superscript"/>
        </w:rPr>
        <w:t>o</w:t>
      </w:r>
      <w:r w:rsidRPr="00027A59">
        <w:rPr>
          <w:color w:val="000000"/>
          <w:sz w:val="22"/>
          <w:szCs w:val="22"/>
        </w:rPr>
        <w:t xml:space="preserve"> </w:t>
      </w:r>
      <w:r w:rsidRPr="00027A59">
        <w:rPr>
          <w:sz w:val="22"/>
          <w:szCs w:val="22"/>
        </w:rPr>
        <w:t>Cria os Artigos 27 e 28 ao Projeto de Lei de nº.</w:t>
      </w:r>
      <w:r w:rsidRPr="00027A59">
        <w:rPr>
          <w:bCs/>
          <w:sz w:val="22"/>
          <w:szCs w:val="22"/>
        </w:rPr>
        <w:t xml:space="preserve"> 96/2021</w:t>
      </w:r>
      <w:r w:rsidRPr="00027A59">
        <w:rPr>
          <w:sz w:val="22"/>
          <w:szCs w:val="22"/>
        </w:rPr>
        <w:t>, que passam a vigorar com a seguinte redação:</w:t>
      </w:r>
    </w:p>
    <w:p w:rsidR="00E508B3" w:rsidRPr="00027A59" w:rsidRDefault="00E508B3" w:rsidP="00027A59">
      <w:pPr>
        <w:ind w:firstLine="1418"/>
        <w:jc w:val="both"/>
        <w:rPr>
          <w:sz w:val="22"/>
          <w:szCs w:val="22"/>
        </w:rPr>
      </w:pPr>
    </w:p>
    <w:p w:rsidR="00E508B3" w:rsidRPr="00027A59" w:rsidRDefault="00E508B3" w:rsidP="00027A59">
      <w:pPr>
        <w:ind w:firstLine="1418"/>
        <w:jc w:val="both"/>
        <w:rPr>
          <w:sz w:val="22"/>
          <w:szCs w:val="22"/>
        </w:rPr>
      </w:pPr>
      <w:r w:rsidRPr="00027A59">
        <w:rPr>
          <w:sz w:val="22"/>
          <w:szCs w:val="22"/>
        </w:rPr>
        <w:t>“Art. 27. As emendas individuais parlamentares ao projeto de lei orçamentária serão aprovadas no limite de 1,2 % (um inteiro e dois décimos por cento) da receita corrente líquida realizada no exercício anterior, prevista no projeto encaminhado pelo Poder Executivo, devendo a metade deste percentual ser destinada a ações e serviços públicos de saúde ou educação”.</w:t>
      </w:r>
    </w:p>
    <w:p w:rsidR="00E508B3" w:rsidRPr="00027A59" w:rsidRDefault="00E508B3" w:rsidP="00027A59">
      <w:pPr>
        <w:ind w:firstLine="1418"/>
        <w:jc w:val="both"/>
        <w:rPr>
          <w:sz w:val="22"/>
          <w:szCs w:val="22"/>
        </w:rPr>
      </w:pPr>
    </w:p>
    <w:p w:rsidR="00E508B3" w:rsidRPr="00027A59" w:rsidRDefault="00E508B3" w:rsidP="00027A59">
      <w:pPr>
        <w:ind w:firstLine="1418"/>
        <w:jc w:val="both"/>
        <w:rPr>
          <w:bCs/>
          <w:i/>
          <w:sz w:val="22"/>
          <w:szCs w:val="22"/>
        </w:rPr>
      </w:pPr>
    </w:p>
    <w:p w:rsidR="00E508B3" w:rsidRPr="00027A59" w:rsidRDefault="00E508B3" w:rsidP="00027A59">
      <w:pPr>
        <w:ind w:firstLine="1418"/>
        <w:jc w:val="both"/>
        <w:rPr>
          <w:bCs/>
          <w:color w:val="000000"/>
          <w:sz w:val="22"/>
          <w:szCs w:val="22"/>
        </w:rPr>
      </w:pPr>
      <w:r w:rsidRPr="00027A59">
        <w:rPr>
          <w:sz w:val="22"/>
          <w:szCs w:val="22"/>
        </w:rPr>
        <w:t xml:space="preserve">“Art. 28. É obrigatória a execução orçamentária e financeira das programações a que se refere o art.27 desta lei, em momento correspondente a 1,2 % (um inteiro e dois décimos por cento) da receita corrente líquida realizada no exercício anterior, conforme os critérios para a execução equitativa da programação definidos na lei complementar prevista no </w:t>
      </w:r>
      <w:r w:rsidRPr="00027A59">
        <w:rPr>
          <w:bCs/>
          <w:color w:val="000000"/>
          <w:sz w:val="22"/>
          <w:szCs w:val="22"/>
        </w:rPr>
        <w:t>§ 9</w:t>
      </w:r>
      <w:r w:rsidRPr="00027A59">
        <w:rPr>
          <w:color w:val="000000"/>
          <w:sz w:val="22"/>
          <w:szCs w:val="22"/>
          <w:vertAlign w:val="superscript"/>
        </w:rPr>
        <w:t xml:space="preserve"> </w:t>
      </w:r>
      <w:r w:rsidRPr="00027A59">
        <w:rPr>
          <w:color w:val="000000"/>
          <w:sz w:val="22"/>
          <w:szCs w:val="22"/>
          <w:u w:val="single"/>
          <w:vertAlign w:val="superscript"/>
        </w:rPr>
        <w:t>o</w:t>
      </w:r>
      <w:r w:rsidRPr="00027A59">
        <w:rPr>
          <w:bCs/>
          <w:color w:val="000000"/>
          <w:sz w:val="22"/>
          <w:szCs w:val="22"/>
        </w:rPr>
        <w:t xml:space="preserve"> do art.165 da Constituição </w:t>
      </w:r>
      <w:r w:rsidR="00027A59" w:rsidRPr="00027A59">
        <w:rPr>
          <w:bCs/>
          <w:color w:val="000000"/>
          <w:sz w:val="22"/>
          <w:szCs w:val="22"/>
        </w:rPr>
        <w:t>Federal.</w:t>
      </w:r>
    </w:p>
    <w:p w:rsidR="00027A59" w:rsidRPr="00027A59" w:rsidRDefault="00027A59" w:rsidP="00027A59">
      <w:pPr>
        <w:ind w:firstLine="1418"/>
        <w:jc w:val="both"/>
        <w:rPr>
          <w:bCs/>
          <w:color w:val="000000"/>
          <w:sz w:val="22"/>
          <w:szCs w:val="22"/>
        </w:rPr>
      </w:pPr>
    </w:p>
    <w:p w:rsidR="00027A59" w:rsidRPr="00027A59" w:rsidRDefault="00027A59" w:rsidP="00027A59">
      <w:pPr>
        <w:ind w:firstLine="1418"/>
        <w:jc w:val="both"/>
        <w:rPr>
          <w:bCs/>
          <w:color w:val="000000"/>
          <w:sz w:val="22"/>
          <w:szCs w:val="22"/>
        </w:rPr>
      </w:pPr>
      <w:r w:rsidRPr="00027A59">
        <w:rPr>
          <w:bCs/>
          <w:color w:val="000000"/>
          <w:sz w:val="22"/>
          <w:szCs w:val="22"/>
        </w:rPr>
        <w:t xml:space="preserve">Parágrafo Único – Para atender ao disposto no </w:t>
      </w:r>
      <w:r w:rsidRPr="00027A59">
        <w:rPr>
          <w:bCs/>
          <w:i/>
          <w:color w:val="000000"/>
          <w:sz w:val="22"/>
          <w:szCs w:val="22"/>
        </w:rPr>
        <w:t>caput</w:t>
      </w:r>
      <w:r w:rsidRPr="00027A59">
        <w:rPr>
          <w:bCs/>
          <w:color w:val="000000"/>
          <w:sz w:val="22"/>
          <w:szCs w:val="22"/>
        </w:rPr>
        <w:t xml:space="preserve"> autoriza o Executivo a efetuar a inclusão das emendas indivi</w:t>
      </w:r>
      <w:r w:rsidRPr="00027A59">
        <w:rPr>
          <w:bCs/>
          <w:color w:val="000000"/>
          <w:sz w:val="22"/>
          <w:szCs w:val="22"/>
        </w:rPr>
        <w:t>duais parlamentares nas demais L</w:t>
      </w:r>
      <w:r w:rsidRPr="00027A59">
        <w:rPr>
          <w:bCs/>
          <w:color w:val="000000"/>
          <w:sz w:val="22"/>
          <w:szCs w:val="22"/>
        </w:rPr>
        <w:t xml:space="preserve">eis de Planejamento, efetuando a compatibilização dos programas e ações com Plano Plurianual, Lei de Diretrizes orçamentárias e Lei </w:t>
      </w:r>
      <w:r w:rsidRPr="00027A59">
        <w:rPr>
          <w:bCs/>
          <w:color w:val="000000"/>
          <w:sz w:val="22"/>
          <w:szCs w:val="22"/>
        </w:rPr>
        <w:t>Orçamentária. Anual</w:t>
      </w:r>
      <w:r w:rsidRPr="00027A59">
        <w:rPr>
          <w:bCs/>
          <w:color w:val="000000"/>
          <w:sz w:val="22"/>
          <w:szCs w:val="22"/>
        </w:rPr>
        <w:t>.</w:t>
      </w:r>
    </w:p>
    <w:p w:rsidR="00E508B3" w:rsidRPr="00027A59" w:rsidRDefault="00E508B3" w:rsidP="00027A59">
      <w:pPr>
        <w:ind w:firstLine="1418"/>
        <w:jc w:val="both"/>
        <w:rPr>
          <w:sz w:val="22"/>
          <w:szCs w:val="22"/>
        </w:rPr>
      </w:pPr>
    </w:p>
    <w:p w:rsidR="00E508B3" w:rsidRPr="00027A59" w:rsidRDefault="00E508B3" w:rsidP="00027A59">
      <w:pPr>
        <w:ind w:firstLine="1418"/>
        <w:jc w:val="both"/>
        <w:rPr>
          <w:sz w:val="22"/>
          <w:szCs w:val="22"/>
        </w:rPr>
      </w:pPr>
      <w:r w:rsidRPr="00027A59">
        <w:rPr>
          <w:sz w:val="22"/>
          <w:szCs w:val="22"/>
        </w:rPr>
        <w:t xml:space="preserve">Art. </w:t>
      </w:r>
      <w:r w:rsidR="00027A59" w:rsidRPr="00027A59">
        <w:rPr>
          <w:sz w:val="22"/>
          <w:szCs w:val="22"/>
        </w:rPr>
        <w:t>2</w:t>
      </w:r>
      <w:r w:rsidRPr="00027A59">
        <w:rPr>
          <w:sz w:val="22"/>
          <w:szCs w:val="22"/>
        </w:rPr>
        <w:t xml:space="preserve">º </w:t>
      </w:r>
      <w:r w:rsidRPr="00027A59">
        <w:rPr>
          <w:sz w:val="22"/>
          <w:szCs w:val="22"/>
        </w:rPr>
        <w:t>Esta Emenda Aditiva entra</w:t>
      </w:r>
      <w:r w:rsidRPr="00027A59">
        <w:rPr>
          <w:sz w:val="22"/>
          <w:szCs w:val="22"/>
        </w:rPr>
        <w:t xml:space="preserve"> em vigor na data de sua publicação.</w:t>
      </w:r>
    </w:p>
    <w:p w:rsidR="00E508B3" w:rsidRPr="00027A59" w:rsidRDefault="00E508B3" w:rsidP="00027A59">
      <w:pPr>
        <w:ind w:firstLine="1418"/>
        <w:jc w:val="both"/>
        <w:rPr>
          <w:sz w:val="22"/>
          <w:szCs w:val="22"/>
        </w:rPr>
      </w:pPr>
    </w:p>
    <w:p w:rsidR="00E508B3" w:rsidRPr="00027A59" w:rsidRDefault="00E508B3" w:rsidP="00027A59">
      <w:pPr>
        <w:ind w:firstLine="1418"/>
        <w:jc w:val="both"/>
        <w:rPr>
          <w:sz w:val="22"/>
          <w:szCs w:val="22"/>
        </w:rPr>
      </w:pPr>
    </w:p>
    <w:p w:rsidR="00E508B3" w:rsidRPr="00027A59" w:rsidRDefault="00E508B3" w:rsidP="00027A59">
      <w:pPr>
        <w:ind w:firstLine="1418"/>
        <w:jc w:val="both"/>
        <w:rPr>
          <w:sz w:val="22"/>
          <w:szCs w:val="22"/>
        </w:rPr>
      </w:pPr>
      <w:r w:rsidRPr="00027A59">
        <w:rPr>
          <w:sz w:val="22"/>
          <w:szCs w:val="22"/>
        </w:rPr>
        <w:t>Câmara Municipal de Sorriso, Estado de Mato Grosso, em 2</w:t>
      </w:r>
      <w:r w:rsidR="001A6C1B">
        <w:rPr>
          <w:sz w:val="22"/>
          <w:szCs w:val="22"/>
        </w:rPr>
        <w:t>7</w:t>
      </w:r>
      <w:r w:rsidRPr="00027A59">
        <w:rPr>
          <w:sz w:val="22"/>
          <w:szCs w:val="22"/>
        </w:rPr>
        <w:t xml:space="preserve"> de outubro de 2021.</w:t>
      </w:r>
    </w:p>
    <w:p w:rsidR="00E508B3" w:rsidRPr="00027A59" w:rsidRDefault="00E508B3" w:rsidP="00E508B3">
      <w:pPr>
        <w:jc w:val="both"/>
        <w:rPr>
          <w:b/>
          <w:sz w:val="22"/>
          <w:szCs w:val="22"/>
        </w:rPr>
      </w:pPr>
    </w:p>
    <w:p w:rsidR="00E508B3" w:rsidRDefault="00E508B3" w:rsidP="00E508B3">
      <w:pPr>
        <w:jc w:val="both"/>
        <w:rPr>
          <w:b/>
          <w:sz w:val="22"/>
          <w:szCs w:val="22"/>
        </w:rPr>
      </w:pPr>
    </w:p>
    <w:p w:rsidR="00027A59" w:rsidRDefault="00027A59" w:rsidP="00E508B3">
      <w:pPr>
        <w:jc w:val="both"/>
        <w:rPr>
          <w:b/>
          <w:sz w:val="22"/>
          <w:szCs w:val="22"/>
        </w:rPr>
      </w:pPr>
    </w:p>
    <w:p w:rsidR="00027A59" w:rsidRDefault="00027A59" w:rsidP="00E508B3">
      <w:pPr>
        <w:jc w:val="both"/>
        <w:rPr>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027A59" w:rsidTr="00027A59">
        <w:tc>
          <w:tcPr>
            <w:tcW w:w="3070" w:type="dxa"/>
          </w:tcPr>
          <w:p w:rsidR="00027A59" w:rsidRPr="00027A59" w:rsidRDefault="00027A59" w:rsidP="00027A59">
            <w:pPr>
              <w:tabs>
                <w:tab w:val="left" w:pos="0"/>
              </w:tabs>
              <w:jc w:val="center"/>
              <w:rPr>
                <w:b/>
                <w:bCs/>
                <w:color w:val="000000"/>
                <w:sz w:val="22"/>
                <w:szCs w:val="22"/>
                <w:lang w:eastAsia="en-US"/>
              </w:rPr>
            </w:pPr>
            <w:r w:rsidRPr="00027A59">
              <w:rPr>
                <w:b/>
                <w:bCs/>
                <w:color w:val="000000"/>
                <w:sz w:val="22"/>
                <w:szCs w:val="22"/>
              </w:rPr>
              <w:t>CELSO KOZAK</w:t>
            </w:r>
          </w:p>
          <w:p w:rsidR="00027A59" w:rsidRDefault="00027A59" w:rsidP="00027A59">
            <w:pPr>
              <w:jc w:val="center"/>
              <w:rPr>
                <w:b/>
                <w:sz w:val="22"/>
                <w:szCs w:val="22"/>
              </w:rPr>
            </w:pPr>
            <w:r w:rsidRPr="00027A59">
              <w:rPr>
                <w:b/>
                <w:bCs/>
                <w:color w:val="000000"/>
                <w:sz w:val="22"/>
                <w:szCs w:val="22"/>
              </w:rPr>
              <w:t>Vereador PSDB</w:t>
            </w:r>
          </w:p>
        </w:tc>
        <w:tc>
          <w:tcPr>
            <w:tcW w:w="3071" w:type="dxa"/>
          </w:tcPr>
          <w:p w:rsidR="00027A59" w:rsidRPr="00027A59" w:rsidRDefault="00027A59" w:rsidP="00027A59">
            <w:pPr>
              <w:jc w:val="center"/>
              <w:rPr>
                <w:rFonts w:eastAsia="Calibri"/>
                <w:b/>
                <w:bCs/>
                <w:color w:val="000000"/>
                <w:sz w:val="22"/>
                <w:szCs w:val="22"/>
              </w:rPr>
            </w:pPr>
            <w:r w:rsidRPr="00027A59">
              <w:rPr>
                <w:rFonts w:eastAsia="Calibri"/>
                <w:b/>
                <w:bCs/>
                <w:color w:val="000000"/>
                <w:sz w:val="22"/>
                <w:szCs w:val="22"/>
              </w:rPr>
              <w:t>DIOGO KRIGUER</w:t>
            </w:r>
          </w:p>
          <w:p w:rsidR="00027A59" w:rsidRDefault="00027A59" w:rsidP="00027A59">
            <w:pPr>
              <w:jc w:val="center"/>
              <w:rPr>
                <w:b/>
                <w:sz w:val="22"/>
                <w:szCs w:val="22"/>
              </w:rPr>
            </w:pPr>
            <w:r w:rsidRPr="00027A59">
              <w:rPr>
                <w:rFonts w:eastAsia="Calibri"/>
                <w:b/>
                <w:bCs/>
                <w:color w:val="000000"/>
                <w:sz w:val="22"/>
                <w:szCs w:val="22"/>
              </w:rPr>
              <w:t>Vereador PSDB</w:t>
            </w:r>
          </w:p>
        </w:tc>
        <w:tc>
          <w:tcPr>
            <w:tcW w:w="3071" w:type="dxa"/>
          </w:tcPr>
          <w:p w:rsidR="00027A59" w:rsidRPr="00027A59" w:rsidRDefault="00027A59" w:rsidP="00027A59">
            <w:pPr>
              <w:jc w:val="center"/>
              <w:rPr>
                <w:rFonts w:eastAsia="Calibri"/>
                <w:b/>
                <w:bCs/>
                <w:color w:val="000000"/>
                <w:sz w:val="22"/>
                <w:szCs w:val="22"/>
              </w:rPr>
            </w:pPr>
            <w:r w:rsidRPr="00027A59">
              <w:rPr>
                <w:rFonts w:eastAsia="Calibri"/>
                <w:b/>
                <w:bCs/>
                <w:color w:val="000000"/>
                <w:sz w:val="22"/>
                <w:szCs w:val="22"/>
              </w:rPr>
              <w:t>RODRIGO MACHADO</w:t>
            </w:r>
          </w:p>
          <w:p w:rsidR="00027A59" w:rsidRDefault="00027A59" w:rsidP="00027A59">
            <w:pPr>
              <w:jc w:val="center"/>
              <w:rPr>
                <w:b/>
                <w:sz w:val="22"/>
                <w:szCs w:val="22"/>
              </w:rPr>
            </w:pPr>
            <w:r w:rsidRPr="00027A59">
              <w:rPr>
                <w:rFonts w:eastAsia="Calibri"/>
                <w:b/>
                <w:sz w:val="22"/>
                <w:szCs w:val="22"/>
              </w:rPr>
              <w:t>Vereador PSDB</w:t>
            </w:r>
          </w:p>
        </w:tc>
      </w:tr>
    </w:tbl>
    <w:p w:rsidR="00027A59" w:rsidRPr="00027A59" w:rsidRDefault="00027A59" w:rsidP="00027A59">
      <w:pPr>
        <w:jc w:val="center"/>
        <w:rPr>
          <w:b/>
          <w:sz w:val="22"/>
          <w:szCs w:val="22"/>
        </w:rPr>
      </w:pPr>
    </w:p>
    <w:p w:rsidR="00E508B3" w:rsidRPr="00027A59" w:rsidRDefault="00E508B3" w:rsidP="00E508B3">
      <w:pPr>
        <w:rPr>
          <w:rFonts w:eastAsia="Calibri"/>
          <w:b/>
          <w:sz w:val="22"/>
          <w:szCs w:val="22"/>
          <w:lang w:eastAsia="en-US"/>
        </w:rPr>
      </w:pPr>
    </w:p>
    <w:p w:rsidR="00E508B3" w:rsidRPr="00027A59" w:rsidRDefault="00E508B3" w:rsidP="00E508B3">
      <w:pPr>
        <w:widowControl w:val="0"/>
        <w:tabs>
          <w:tab w:val="left" w:pos="851"/>
          <w:tab w:val="left" w:pos="4840"/>
        </w:tabs>
        <w:snapToGrid w:val="0"/>
        <w:jc w:val="both"/>
        <w:rPr>
          <w:sz w:val="22"/>
          <w:szCs w:val="22"/>
        </w:rPr>
      </w:pPr>
    </w:p>
    <w:p w:rsidR="00E508B3" w:rsidRPr="00027A59" w:rsidRDefault="00E508B3" w:rsidP="00E508B3">
      <w:pPr>
        <w:jc w:val="center"/>
        <w:rPr>
          <w:b/>
          <w:color w:val="000000"/>
          <w:sz w:val="22"/>
          <w:szCs w:val="22"/>
        </w:rPr>
      </w:pPr>
      <w:r w:rsidRPr="00027A59">
        <w:rPr>
          <w:b/>
          <w:color w:val="000000"/>
          <w:sz w:val="22"/>
          <w:szCs w:val="22"/>
        </w:rPr>
        <w:t>JUSTIFICATIVA</w:t>
      </w:r>
    </w:p>
    <w:p w:rsidR="00E508B3" w:rsidRPr="00027A59" w:rsidRDefault="00E508B3" w:rsidP="00E508B3">
      <w:pPr>
        <w:ind w:firstLine="2835"/>
        <w:rPr>
          <w:b/>
          <w:color w:val="000000"/>
          <w:sz w:val="22"/>
          <w:szCs w:val="22"/>
        </w:rPr>
      </w:pPr>
    </w:p>
    <w:p w:rsidR="00E508B3" w:rsidRPr="00027A59" w:rsidRDefault="00E508B3" w:rsidP="00E508B3">
      <w:pPr>
        <w:ind w:firstLine="1134"/>
        <w:jc w:val="both"/>
        <w:rPr>
          <w:color w:val="000000"/>
          <w:sz w:val="22"/>
          <w:szCs w:val="22"/>
        </w:rPr>
      </w:pPr>
      <w:r w:rsidRPr="00027A59">
        <w:rPr>
          <w:color w:val="000000"/>
          <w:sz w:val="22"/>
          <w:szCs w:val="22"/>
        </w:rPr>
        <w:t xml:space="preserve">Trata a presente Emenda de instituição no texto da LDO das emendas parlamentares impositivas, visando atualizar o projeto de lei ordinária de modo a permitir sua aplicação na elaboração da LOA para o ano de 2.022. </w:t>
      </w:r>
    </w:p>
    <w:p w:rsidR="00E508B3" w:rsidRPr="00027A59" w:rsidRDefault="00E508B3" w:rsidP="00E508B3">
      <w:pPr>
        <w:rPr>
          <w:color w:val="000000"/>
          <w:sz w:val="22"/>
          <w:szCs w:val="22"/>
        </w:rPr>
      </w:pPr>
    </w:p>
    <w:p w:rsidR="00E508B3" w:rsidRPr="00027A59" w:rsidRDefault="00E508B3" w:rsidP="00E508B3">
      <w:pPr>
        <w:ind w:firstLine="1134"/>
        <w:jc w:val="both"/>
        <w:rPr>
          <w:color w:val="000000"/>
          <w:sz w:val="22"/>
          <w:szCs w:val="22"/>
        </w:rPr>
      </w:pPr>
      <w:r w:rsidRPr="00027A59">
        <w:rPr>
          <w:color w:val="000000"/>
          <w:sz w:val="22"/>
          <w:szCs w:val="22"/>
        </w:rPr>
        <w:t>A Emenda Constitucional nº 86/2015 trouxe consigo mudanças razoáveis no processo legislativo orçamentário e, a principal delas foi à reserva do percentual de 1,2% da Receita Corrente Líquida (RCL), dentro da proposta orçamentária apresentada pelo Poder Executivo, como limite destinado às emendas individuais parlamentares à Lei Orçamentária Anual. Com essa inovação, reduz a discricionariedade orçamentária e atribui vinculação à implementação, pelo Poder Executivo, das emendas propostas pelo Legislativo.</w:t>
      </w:r>
    </w:p>
    <w:p w:rsidR="00E508B3" w:rsidRPr="00027A59" w:rsidRDefault="00E508B3" w:rsidP="00E508B3">
      <w:pPr>
        <w:ind w:firstLine="1134"/>
        <w:jc w:val="both"/>
        <w:rPr>
          <w:color w:val="000000"/>
          <w:sz w:val="22"/>
          <w:szCs w:val="22"/>
        </w:rPr>
      </w:pPr>
      <w:r w:rsidRPr="00027A59">
        <w:rPr>
          <w:color w:val="000000"/>
          <w:sz w:val="22"/>
          <w:szCs w:val="22"/>
        </w:rPr>
        <w:t> </w:t>
      </w:r>
    </w:p>
    <w:p w:rsidR="00E508B3" w:rsidRPr="00027A59" w:rsidRDefault="00E508B3" w:rsidP="00E508B3">
      <w:pPr>
        <w:ind w:firstLine="1134"/>
        <w:jc w:val="both"/>
        <w:rPr>
          <w:color w:val="000000"/>
          <w:sz w:val="22"/>
          <w:szCs w:val="22"/>
        </w:rPr>
      </w:pPr>
      <w:r w:rsidRPr="00027A59">
        <w:rPr>
          <w:color w:val="000000"/>
          <w:sz w:val="22"/>
          <w:szCs w:val="22"/>
        </w:rPr>
        <w:t xml:space="preserve">Assim, a proposta de Emenda à Lei Orgânica Municipal ora referida visa tomar obrigatória à execução das emendas dos Vereadores ao projeto de lei orçamentária anual, em consonância com a Emenda Constitucional </w:t>
      </w:r>
      <w:proofErr w:type="gramStart"/>
      <w:r w:rsidRPr="00027A59">
        <w:rPr>
          <w:color w:val="000000"/>
          <w:sz w:val="22"/>
          <w:szCs w:val="22"/>
        </w:rPr>
        <w:t>nº  86</w:t>
      </w:r>
      <w:proofErr w:type="gramEnd"/>
      <w:r w:rsidRPr="00027A59">
        <w:rPr>
          <w:color w:val="000000"/>
          <w:sz w:val="22"/>
          <w:szCs w:val="22"/>
        </w:rPr>
        <w:t xml:space="preserve"> de 17 de Março de 2015, onde é tratado como orçamento impositivo.</w:t>
      </w:r>
    </w:p>
    <w:p w:rsidR="00E508B3" w:rsidRPr="00027A59" w:rsidRDefault="00E508B3" w:rsidP="00E508B3">
      <w:pPr>
        <w:ind w:firstLine="1134"/>
        <w:jc w:val="both"/>
        <w:rPr>
          <w:color w:val="000000"/>
          <w:sz w:val="22"/>
          <w:szCs w:val="22"/>
        </w:rPr>
      </w:pPr>
    </w:p>
    <w:p w:rsidR="00E508B3" w:rsidRPr="00027A59" w:rsidRDefault="00E508B3" w:rsidP="00E508B3">
      <w:pPr>
        <w:ind w:firstLine="1134"/>
        <w:jc w:val="both"/>
        <w:rPr>
          <w:color w:val="000000"/>
          <w:sz w:val="22"/>
          <w:szCs w:val="22"/>
        </w:rPr>
      </w:pPr>
      <w:r w:rsidRPr="00027A59">
        <w:rPr>
          <w:color w:val="000000"/>
          <w:sz w:val="22"/>
          <w:szCs w:val="22"/>
        </w:rPr>
        <w:t xml:space="preserve"> A obrigatoriedade na execução orçamentária permite que os vereadores atendam às demandas colocadas pela população e que seu clamor seja ouvido em forma de ações governamentais. Não se quer, com isso, impor restrições ao executivo. Os vereadores conhecem os micros problemas do município, eles andam nas bases, ouvem e veem as dificuldades dos moradores, desta feita, o orçamento impositivo visa o cumprimento de recursos destinados a um setor específico, e que não rara às vezes são aplicados em outras obras de </w:t>
      </w:r>
      <w:proofErr w:type="spellStart"/>
      <w:r w:rsidRPr="00027A59">
        <w:rPr>
          <w:color w:val="000000"/>
          <w:sz w:val="22"/>
          <w:szCs w:val="22"/>
        </w:rPr>
        <w:t>menos</w:t>
      </w:r>
      <w:proofErr w:type="spellEnd"/>
      <w:r w:rsidRPr="00027A59">
        <w:rPr>
          <w:color w:val="000000"/>
          <w:sz w:val="22"/>
          <w:szCs w:val="22"/>
        </w:rPr>
        <w:t xml:space="preserve"> relevância.</w:t>
      </w:r>
    </w:p>
    <w:p w:rsidR="00E508B3" w:rsidRPr="00027A59" w:rsidRDefault="00E508B3" w:rsidP="00E508B3">
      <w:pPr>
        <w:ind w:firstLine="1134"/>
        <w:jc w:val="both"/>
        <w:rPr>
          <w:color w:val="000000"/>
          <w:sz w:val="22"/>
          <w:szCs w:val="22"/>
        </w:rPr>
      </w:pPr>
      <w:r w:rsidRPr="00027A59">
        <w:rPr>
          <w:color w:val="000000"/>
          <w:sz w:val="22"/>
          <w:szCs w:val="22"/>
        </w:rPr>
        <w:t> </w:t>
      </w:r>
    </w:p>
    <w:p w:rsidR="00E508B3" w:rsidRPr="00027A59" w:rsidRDefault="00E508B3" w:rsidP="00E508B3">
      <w:pPr>
        <w:ind w:firstLine="1134"/>
        <w:jc w:val="both"/>
        <w:rPr>
          <w:color w:val="000000"/>
          <w:sz w:val="22"/>
          <w:szCs w:val="22"/>
        </w:rPr>
      </w:pPr>
      <w:r w:rsidRPr="00027A59">
        <w:rPr>
          <w:color w:val="000000"/>
          <w:sz w:val="22"/>
          <w:szCs w:val="22"/>
        </w:rPr>
        <w:t>A proposta visa fortalecer o Poder Legislativo na medida em que impõe a obrigatoriedade da execução das emendas apresentadas e reforçar a responsabilidade de cada um dos vereadores, já que ao propor as emendas, os parlamentares estarão propiciando melhoria dos serviços e equipamentos públicos oferecidos aos moradores do Município.</w:t>
      </w:r>
    </w:p>
    <w:p w:rsidR="00E508B3" w:rsidRPr="00027A59" w:rsidRDefault="00E508B3" w:rsidP="00E508B3">
      <w:pPr>
        <w:ind w:firstLine="1134"/>
        <w:jc w:val="both"/>
        <w:rPr>
          <w:color w:val="000000"/>
          <w:sz w:val="22"/>
          <w:szCs w:val="22"/>
        </w:rPr>
      </w:pPr>
      <w:r w:rsidRPr="00027A59">
        <w:rPr>
          <w:color w:val="000000"/>
          <w:sz w:val="22"/>
          <w:szCs w:val="22"/>
        </w:rPr>
        <w:t> </w:t>
      </w:r>
    </w:p>
    <w:p w:rsidR="00E508B3" w:rsidRPr="00027A59" w:rsidRDefault="00E508B3" w:rsidP="00E508B3">
      <w:pPr>
        <w:ind w:firstLine="1134"/>
        <w:jc w:val="both"/>
        <w:rPr>
          <w:color w:val="000000"/>
          <w:sz w:val="22"/>
          <w:szCs w:val="22"/>
        </w:rPr>
      </w:pPr>
      <w:r w:rsidRPr="00027A59">
        <w:rPr>
          <w:color w:val="000000"/>
          <w:sz w:val="22"/>
          <w:szCs w:val="22"/>
        </w:rPr>
        <w:t>Atualmente, o Prefeito não é obrigado a aplicar as emendas apresentadas pelos parlamentares durante a tramitação da tríade orçamentária, pois possuem caráter meramente “autorizativo”. Isso permite que o Executivo não realize as sugestões legislativas. Mesmo sabendo que as emendas só se transformam em obras se o Prefeito almejar é praxe os vereadores apresentá-las, atendendo as demandas populares em áreas como Saúde, Educação, Serviços Urbanos e Transporte, entre outros. </w:t>
      </w:r>
    </w:p>
    <w:p w:rsidR="00E508B3" w:rsidRPr="00027A59" w:rsidRDefault="00E508B3" w:rsidP="00E508B3">
      <w:pPr>
        <w:ind w:firstLine="1134"/>
        <w:jc w:val="both"/>
        <w:rPr>
          <w:color w:val="000000"/>
          <w:sz w:val="22"/>
          <w:szCs w:val="22"/>
        </w:rPr>
      </w:pPr>
      <w:r w:rsidRPr="00027A59">
        <w:rPr>
          <w:color w:val="000000"/>
          <w:sz w:val="22"/>
          <w:szCs w:val="22"/>
        </w:rPr>
        <w:t> </w:t>
      </w:r>
    </w:p>
    <w:p w:rsidR="00E508B3" w:rsidRPr="00027A59" w:rsidRDefault="00E508B3" w:rsidP="00E508B3">
      <w:pPr>
        <w:ind w:firstLine="1134"/>
        <w:jc w:val="both"/>
        <w:rPr>
          <w:color w:val="000000"/>
          <w:sz w:val="22"/>
          <w:szCs w:val="22"/>
        </w:rPr>
      </w:pPr>
      <w:r w:rsidRPr="00027A59">
        <w:rPr>
          <w:color w:val="000000"/>
          <w:sz w:val="22"/>
          <w:szCs w:val="22"/>
        </w:rPr>
        <w:t xml:space="preserve">Não obstante, a autonomia da qual a maioria dos vereadores reclama, quando justificam não </w:t>
      </w:r>
      <w:proofErr w:type="spellStart"/>
      <w:r w:rsidRPr="00027A59">
        <w:rPr>
          <w:color w:val="000000"/>
          <w:sz w:val="22"/>
          <w:szCs w:val="22"/>
        </w:rPr>
        <w:t>poder</w:t>
      </w:r>
      <w:proofErr w:type="spellEnd"/>
      <w:r w:rsidRPr="00027A59">
        <w:rPr>
          <w:color w:val="000000"/>
          <w:sz w:val="22"/>
          <w:szCs w:val="22"/>
        </w:rPr>
        <w:t xml:space="preserve"> interferir na realização de obras por parte do Executivo pode finalmente se tornar realidade. O Orçamento Impositivo é, na prática, a obrigatoriedade do Governo Municipal de executar todas as emendas orçamentárias acrescentadas à Lei do Orçamento Anual apresentadas pelos parlamentares.</w:t>
      </w:r>
    </w:p>
    <w:p w:rsidR="00E508B3" w:rsidRPr="00027A59" w:rsidRDefault="00E508B3" w:rsidP="00E508B3">
      <w:pPr>
        <w:ind w:firstLine="1134"/>
        <w:jc w:val="both"/>
        <w:rPr>
          <w:color w:val="000000"/>
          <w:sz w:val="22"/>
          <w:szCs w:val="22"/>
        </w:rPr>
      </w:pPr>
      <w:r w:rsidRPr="00027A59">
        <w:rPr>
          <w:color w:val="000000"/>
          <w:sz w:val="22"/>
          <w:szCs w:val="22"/>
        </w:rPr>
        <w:t> </w:t>
      </w:r>
    </w:p>
    <w:p w:rsidR="00E508B3" w:rsidRPr="00027A59" w:rsidRDefault="00E508B3" w:rsidP="00E508B3">
      <w:pPr>
        <w:ind w:firstLine="1134"/>
        <w:jc w:val="both"/>
        <w:rPr>
          <w:color w:val="000000"/>
          <w:sz w:val="22"/>
          <w:szCs w:val="22"/>
        </w:rPr>
      </w:pPr>
      <w:r w:rsidRPr="00027A59">
        <w:rPr>
          <w:color w:val="000000"/>
          <w:sz w:val="22"/>
          <w:szCs w:val="22"/>
        </w:rPr>
        <w:t xml:space="preserve">A palavra vereador vem do verbo verear, significa a pessoa que </w:t>
      </w:r>
      <w:proofErr w:type="spellStart"/>
      <w:r w:rsidRPr="00027A59">
        <w:rPr>
          <w:color w:val="000000"/>
          <w:sz w:val="22"/>
          <w:szCs w:val="22"/>
        </w:rPr>
        <w:t>varea</w:t>
      </w:r>
      <w:proofErr w:type="spellEnd"/>
      <w:r w:rsidRPr="00027A59">
        <w:rPr>
          <w:color w:val="000000"/>
          <w:sz w:val="22"/>
          <w:szCs w:val="22"/>
        </w:rPr>
        <w:t>, que zela que cuida para que o interesse público seja atingido. São agentes públicos da categoria de agentes políticos, investidos no mandato legislativo depois de eleitos no pleito direto e simultâneo, realizado em todo pais, para um mandato de quatro anos. É importante que essa autonomia seja mais ampliada e que o Poder Legislativo Municipal sirva de exemplo para a sociedade e caminho para aqueles que desejam galgar os degraus da vida pública.</w:t>
      </w:r>
    </w:p>
    <w:p w:rsidR="00E508B3" w:rsidRPr="00027A59" w:rsidRDefault="00E508B3" w:rsidP="00E508B3">
      <w:pPr>
        <w:ind w:firstLine="1134"/>
        <w:jc w:val="both"/>
        <w:rPr>
          <w:color w:val="000000"/>
          <w:sz w:val="22"/>
          <w:szCs w:val="22"/>
        </w:rPr>
      </w:pPr>
    </w:p>
    <w:p w:rsidR="00E508B3" w:rsidRPr="00027A59" w:rsidRDefault="00E508B3" w:rsidP="00E508B3">
      <w:pPr>
        <w:ind w:firstLine="1134"/>
        <w:jc w:val="both"/>
        <w:rPr>
          <w:color w:val="000000"/>
          <w:sz w:val="22"/>
          <w:szCs w:val="22"/>
        </w:rPr>
      </w:pPr>
      <w:r w:rsidRPr="00027A59">
        <w:rPr>
          <w:color w:val="000000"/>
          <w:sz w:val="22"/>
          <w:szCs w:val="22"/>
        </w:rPr>
        <w:t xml:space="preserve">É cediço que as emendas individuais constituem, em tese, mecanismo legítimo de controle do orçamento público pelo Legislativo, através das quais é lícito aos parlamentares influir na </w:t>
      </w:r>
      <w:r w:rsidRPr="00027A59">
        <w:rPr>
          <w:color w:val="000000"/>
          <w:sz w:val="22"/>
          <w:szCs w:val="22"/>
        </w:rPr>
        <w:lastRenderedPageBreak/>
        <w:t>alocação de recursos públicos, de modo a permitir a consecução de políticas públicas setoriais, em consonância com o princípio democrático.</w:t>
      </w:r>
    </w:p>
    <w:p w:rsidR="00E508B3" w:rsidRPr="00027A59" w:rsidRDefault="00E508B3" w:rsidP="00E508B3">
      <w:pPr>
        <w:ind w:firstLine="1134"/>
        <w:jc w:val="both"/>
        <w:rPr>
          <w:color w:val="000000"/>
          <w:sz w:val="22"/>
          <w:szCs w:val="22"/>
        </w:rPr>
      </w:pPr>
      <w:r w:rsidRPr="00027A59">
        <w:rPr>
          <w:color w:val="000000"/>
          <w:sz w:val="22"/>
          <w:szCs w:val="22"/>
        </w:rPr>
        <w:t> </w:t>
      </w:r>
    </w:p>
    <w:p w:rsidR="00E508B3" w:rsidRPr="00027A59" w:rsidRDefault="00E508B3" w:rsidP="00E508B3">
      <w:pPr>
        <w:ind w:firstLine="1134"/>
        <w:jc w:val="both"/>
        <w:rPr>
          <w:color w:val="000000"/>
          <w:sz w:val="22"/>
          <w:szCs w:val="22"/>
        </w:rPr>
      </w:pPr>
      <w:r w:rsidRPr="00027A59">
        <w:rPr>
          <w:color w:val="000000"/>
          <w:sz w:val="22"/>
          <w:szCs w:val="22"/>
        </w:rPr>
        <w:t xml:space="preserve">O vereador absorve todos os reclames da população, é procurado no gabinete, em casa, no seu dia-a-dia. A população cobra e, as cobranças são em níveis de executivo, pois a população acha que o vereador pode construir uma escola, implantar pavimentações e na hora que se aprova um projeto dessa magnitude a Câmara passa a ter um marco diferenciado, de </w:t>
      </w:r>
      <w:proofErr w:type="spellStart"/>
      <w:r w:rsidRPr="00027A59">
        <w:rPr>
          <w:color w:val="000000"/>
          <w:sz w:val="22"/>
          <w:szCs w:val="22"/>
        </w:rPr>
        <w:t>empoderamento</w:t>
      </w:r>
      <w:proofErr w:type="spellEnd"/>
      <w:r w:rsidRPr="00027A59">
        <w:rPr>
          <w:color w:val="000000"/>
          <w:sz w:val="22"/>
          <w:szCs w:val="22"/>
        </w:rPr>
        <w:t>.</w:t>
      </w:r>
    </w:p>
    <w:p w:rsidR="00E508B3" w:rsidRPr="00027A59" w:rsidRDefault="00E508B3" w:rsidP="00E508B3">
      <w:pPr>
        <w:ind w:firstLine="1134"/>
        <w:jc w:val="both"/>
        <w:rPr>
          <w:color w:val="000000"/>
          <w:sz w:val="22"/>
          <w:szCs w:val="22"/>
        </w:rPr>
      </w:pPr>
      <w:r w:rsidRPr="00027A59">
        <w:rPr>
          <w:color w:val="000000"/>
          <w:sz w:val="22"/>
          <w:szCs w:val="22"/>
        </w:rPr>
        <w:t> </w:t>
      </w:r>
    </w:p>
    <w:p w:rsidR="00E508B3" w:rsidRPr="00027A59" w:rsidRDefault="00E508B3" w:rsidP="00E508B3">
      <w:pPr>
        <w:ind w:firstLine="1134"/>
        <w:jc w:val="both"/>
        <w:rPr>
          <w:color w:val="000000"/>
          <w:sz w:val="22"/>
          <w:szCs w:val="22"/>
        </w:rPr>
      </w:pPr>
      <w:r w:rsidRPr="00027A59">
        <w:rPr>
          <w:color w:val="000000"/>
          <w:sz w:val="22"/>
          <w:szCs w:val="22"/>
        </w:rPr>
        <w:t>Nesse ínterim, a presente proposta está plenamente adaptada à realidade das leis que regem os orçamentos impositivos nos planos federal, estadual e nos municípios onde já adotam esse tipo de orçamento. Ademais, no caso de aprovação, metade das emendas terão sua destinação assegurada à saúde (vide § 9° do art. 166 da Constituição Federal), sendo vedada qualquer emenda para pagamento de despesas com pessoal e encargos sociais.</w:t>
      </w:r>
    </w:p>
    <w:p w:rsidR="00E508B3" w:rsidRPr="00027A59" w:rsidRDefault="00E508B3" w:rsidP="00E508B3">
      <w:pPr>
        <w:ind w:firstLine="1134"/>
        <w:jc w:val="both"/>
        <w:rPr>
          <w:color w:val="000000"/>
          <w:sz w:val="22"/>
          <w:szCs w:val="22"/>
        </w:rPr>
      </w:pPr>
      <w:r w:rsidRPr="00027A59">
        <w:rPr>
          <w:color w:val="000000"/>
          <w:sz w:val="22"/>
          <w:szCs w:val="22"/>
        </w:rPr>
        <w:t> </w:t>
      </w:r>
    </w:p>
    <w:p w:rsidR="00E508B3" w:rsidRPr="00027A59" w:rsidRDefault="00E508B3" w:rsidP="00E508B3">
      <w:pPr>
        <w:ind w:firstLine="1134"/>
        <w:jc w:val="both"/>
        <w:rPr>
          <w:color w:val="000000"/>
          <w:sz w:val="22"/>
          <w:szCs w:val="22"/>
        </w:rPr>
      </w:pPr>
      <w:r w:rsidRPr="00027A59">
        <w:rPr>
          <w:color w:val="000000"/>
          <w:sz w:val="22"/>
          <w:szCs w:val="22"/>
        </w:rPr>
        <w:t>Isso posto, acredita-se que este mecanismo é fundamental para maior independência do vereador, uma vez que a sistemática vai permitir que os vereadores tenham tratamento mais isonômico. Além de proporcionar maior legitimidade ao Legislativo enquanto representante do povo.</w:t>
      </w:r>
    </w:p>
    <w:p w:rsidR="00E508B3" w:rsidRDefault="00E508B3" w:rsidP="00E508B3">
      <w:pPr>
        <w:ind w:firstLine="1134"/>
        <w:jc w:val="both"/>
        <w:rPr>
          <w:color w:val="000000"/>
          <w:sz w:val="22"/>
          <w:szCs w:val="22"/>
        </w:rPr>
      </w:pPr>
    </w:p>
    <w:p w:rsidR="00027A59" w:rsidRDefault="00027A59" w:rsidP="00E508B3">
      <w:pPr>
        <w:ind w:firstLine="1134"/>
        <w:jc w:val="both"/>
        <w:rPr>
          <w:color w:val="000000"/>
          <w:sz w:val="22"/>
          <w:szCs w:val="22"/>
        </w:rPr>
      </w:pPr>
    </w:p>
    <w:p w:rsidR="00027A59" w:rsidRDefault="00027A59" w:rsidP="00E508B3">
      <w:pPr>
        <w:ind w:firstLine="1134"/>
        <w:jc w:val="both"/>
        <w:rPr>
          <w:color w:val="000000"/>
          <w:sz w:val="22"/>
          <w:szCs w:val="22"/>
        </w:rPr>
      </w:pPr>
    </w:p>
    <w:p w:rsidR="00027A59" w:rsidRDefault="00027A59" w:rsidP="00E508B3">
      <w:pPr>
        <w:ind w:firstLine="1134"/>
        <w:jc w:val="both"/>
        <w:rPr>
          <w:color w:val="000000"/>
          <w:sz w:val="22"/>
          <w:szCs w:val="22"/>
        </w:rPr>
      </w:pPr>
    </w:p>
    <w:p w:rsidR="00027A59" w:rsidRDefault="00027A59" w:rsidP="00E508B3">
      <w:pPr>
        <w:ind w:firstLine="1134"/>
        <w:jc w:val="both"/>
        <w:rPr>
          <w:color w:val="000000"/>
          <w:sz w:val="22"/>
          <w:szCs w:val="22"/>
        </w:rPr>
      </w:pPr>
    </w:p>
    <w:p w:rsidR="00027A59" w:rsidRDefault="00027A59" w:rsidP="00E508B3">
      <w:pPr>
        <w:ind w:firstLine="1134"/>
        <w:jc w:val="both"/>
        <w:rPr>
          <w:color w:val="000000"/>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027A59" w:rsidTr="00367CA2">
        <w:tc>
          <w:tcPr>
            <w:tcW w:w="3070" w:type="dxa"/>
          </w:tcPr>
          <w:p w:rsidR="00027A59" w:rsidRPr="00027A59" w:rsidRDefault="00027A59" w:rsidP="00367CA2">
            <w:pPr>
              <w:tabs>
                <w:tab w:val="left" w:pos="0"/>
              </w:tabs>
              <w:jc w:val="center"/>
              <w:rPr>
                <w:b/>
                <w:bCs/>
                <w:color w:val="000000"/>
                <w:sz w:val="22"/>
                <w:szCs w:val="22"/>
                <w:lang w:eastAsia="en-US"/>
              </w:rPr>
            </w:pPr>
            <w:r w:rsidRPr="00027A59">
              <w:rPr>
                <w:b/>
                <w:bCs/>
                <w:color w:val="000000"/>
                <w:sz w:val="22"/>
                <w:szCs w:val="22"/>
              </w:rPr>
              <w:t>CELSO KOZAK</w:t>
            </w:r>
          </w:p>
          <w:p w:rsidR="00027A59" w:rsidRDefault="00027A59" w:rsidP="00367CA2">
            <w:pPr>
              <w:jc w:val="center"/>
              <w:rPr>
                <w:b/>
                <w:sz w:val="22"/>
                <w:szCs w:val="22"/>
              </w:rPr>
            </w:pPr>
            <w:r w:rsidRPr="00027A59">
              <w:rPr>
                <w:b/>
                <w:bCs/>
                <w:color w:val="000000"/>
                <w:sz w:val="22"/>
                <w:szCs w:val="22"/>
              </w:rPr>
              <w:t>Vereador PSDB</w:t>
            </w:r>
          </w:p>
        </w:tc>
        <w:tc>
          <w:tcPr>
            <w:tcW w:w="3071" w:type="dxa"/>
          </w:tcPr>
          <w:p w:rsidR="00027A59" w:rsidRPr="00027A59" w:rsidRDefault="00027A59" w:rsidP="00367CA2">
            <w:pPr>
              <w:jc w:val="center"/>
              <w:rPr>
                <w:rFonts w:eastAsia="Calibri"/>
                <w:b/>
                <w:bCs/>
                <w:color w:val="000000"/>
                <w:sz w:val="22"/>
                <w:szCs w:val="22"/>
              </w:rPr>
            </w:pPr>
            <w:r w:rsidRPr="00027A59">
              <w:rPr>
                <w:rFonts w:eastAsia="Calibri"/>
                <w:b/>
                <w:bCs/>
                <w:color w:val="000000"/>
                <w:sz w:val="22"/>
                <w:szCs w:val="22"/>
              </w:rPr>
              <w:t>DIOGO KRIGUER</w:t>
            </w:r>
          </w:p>
          <w:p w:rsidR="00027A59" w:rsidRDefault="00027A59" w:rsidP="00367CA2">
            <w:pPr>
              <w:jc w:val="center"/>
              <w:rPr>
                <w:b/>
                <w:sz w:val="22"/>
                <w:szCs w:val="22"/>
              </w:rPr>
            </w:pPr>
            <w:r w:rsidRPr="00027A59">
              <w:rPr>
                <w:rFonts w:eastAsia="Calibri"/>
                <w:b/>
                <w:bCs/>
                <w:color w:val="000000"/>
                <w:sz w:val="22"/>
                <w:szCs w:val="22"/>
              </w:rPr>
              <w:t>Vereador PSDB</w:t>
            </w:r>
          </w:p>
        </w:tc>
        <w:tc>
          <w:tcPr>
            <w:tcW w:w="3071" w:type="dxa"/>
          </w:tcPr>
          <w:p w:rsidR="00027A59" w:rsidRPr="00027A59" w:rsidRDefault="00027A59" w:rsidP="00367CA2">
            <w:pPr>
              <w:jc w:val="center"/>
              <w:rPr>
                <w:rFonts w:eastAsia="Calibri"/>
                <w:b/>
                <w:bCs/>
                <w:color w:val="000000"/>
                <w:sz w:val="22"/>
                <w:szCs w:val="22"/>
              </w:rPr>
            </w:pPr>
            <w:r w:rsidRPr="00027A59">
              <w:rPr>
                <w:rFonts w:eastAsia="Calibri"/>
                <w:b/>
                <w:bCs/>
                <w:color w:val="000000"/>
                <w:sz w:val="22"/>
                <w:szCs w:val="22"/>
              </w:rPr>
              <w:t>RODRIGO MACHADO</w:t>
            </w:r>
          </w:p>
          <w:p w:rsidR="00027A59" w:rsidRDefault="00027A59" w:rsidP="00367CA2">
            <w:pPr>
              <w:jc w:val="center"/>
              <w:rPr>
                <w:b/>
                <w:sz w:val="22"/>
                <w:szCs w:val="22"/>
              </w:rPr>
            </w:pPr>
            <w:r w:rsidRPr="00027A59">
              <w:rPr>
                <w:rFonts w:eastAsia="Calibri"/>
                <w:b/>
                <w:sz w:val="22"/>
                <w:szCs w:val="22"/>
              </w:rPr>
              <w:t>Vereador PSDB</w:t>
            </w:r>
          </w:p>
        </w:tc>
      </w:tr>
      <w:bookmarkEnd w:id="0"/>
    </w:tbl>
    <w:p w:rsidR="00027A59" w:rsidRPr="00027A59" w:rsidRDefault="00027A59" w:rsidP="00E508B3">
      <w:pPr>
        <w:ind w:firstLine="1134"/>
        <w:jc w:val="both"/>
        <w:rPr>
          <w:color w:val="000000"/>
          <w:sz w:val="22"/>
          <w:szCs w:val="22"/>
        </w:rPr>
      </w:pPr>
    </w:p>
    <w:sectPr w:rsidR="00027A59" w:rsidRPr="00027A59" w:rsidSect="00027A59">
      <w:pgSz w:w="11906" w:h="16838"/>
      <w:pgMar w:top="2552" w:right="1274"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862BF"/>
    <w:multiLevelType w:val="hybridMultilevel"/>
    <w:tmpl w:val="8BEEB744"/>
    <w:lvl w:ilvl="0" w:tplc="5C94097E">
      <w:start w:val="1"/>
      <w:numFmt w:val="upperRoman"/>
      <w:lvlText w:val="%1-"/>
      <w:lvlJc w:val="left"/>
      <w:pPr>
        <w:ind w:left="2138" w:hanging="720"/>
      </w:pPr>
      <w:rPr>
        <w:rFonts w:hint="default"/>
      </w:rPr>
    </w:lvl>
    <w:lvl w:ilvl="1" w:tplc="A7BA1606" w:tentative="1">
      <w:start w:val="1"/>
      <w:numFmt w:val="lowerLetter"/>
      <w:lvlText w:val="%2."/>
      <w:lvlJc w:val="left"/>
      <w:pPr>
        <w:ind w:left="2498" w:hanging="360"/>
      </w:pPr>
    </w:lvl>
    <w:lvl w:ilvl="2" w:tplc="28385642" w:tentative="1">
      <w:start w:val="1"/>
      <w:numFmt w:val="lowerRoman"/>
      <w:lvlText w:val="%3."/>
      <w:lvlJc w:val="right"/>
      <w:pPr>
        <w:ind w:left="3218" w:hanging="180"/>
      </w:pPr>
    </w:lvl>
    <w:lvl w:ilvl="3" w:tplc="B9A0C48A" w:tentative="1">
      <w:start w:val="1"/>
      <w:numFmt w:val="decimal"/>
      <w:lvlText w:val="%4."/>
      <w:lvlJc w:val="left"/>
      <w:pPr>
        <w:ind w:left="3938" w:hanging="360"/>
      </w:pPr>
    </w:lvl>
    <w:lvl w:ilvl="4" w:tplc="86CA91A8" w:tentative="1">
      <w:start w:val="1"/>
      <w:numFmt w:val="lowerLetter"/>
      <w:lvlText w:val="%5."/>
      <w:lvlJc w:val="left"/>
      <w:pPr>
        <w:ind w:left="4658" w:hanging="360"/>
      </w:pPr>
    </w:lvl>
    <w:lvl w:ilvl="5" w:tplc="6CEE7AD2" w:tentative="1">
      <w:start w:val="1"/>
      <w:numFmt w:val="lowerRoman"/>
      <w:lvlText w:val="%6."/>
      <w:lvlJc w:val="right"/>
      <w:pPr>
        <w:ind w:left="5378" w:hanging="180"/>
      </w:pPr>
    </w:lvl>
    <w:lvl w:ilvl="6" w:tplc="697E88D2" w:tentative="1">
      <w:start w:val="1"/>
      <w:numFmt w:val="decimal"/>
      <w:lvlText w:val="%7."/>
      <w:lvlJc w:val="left"/>
      <w:pPr>
        <w:ind w:left="6098" w:hanging="360"/>
      </w:pPr>
    </w:lvl>
    <w:lvl w:ilvl="7" w:tplc="69F681EA" w:tentative="1">
      <w:start w:val="1"/>
      <w:numFmt w:val="lowerLetter"/>
      <w:lvlText w:val="%8."/>
      <w:lvlJc w:val="left"/>
      <w:pPr>
        <w:ind w:left="6818" w:hanging="360"/>
      </w:pPr>
    </w:lvl>
    <w:lvl w:ilvl="8" w:tplc="5CC8CB28"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98"/>
    <w:rsid w:val="00025B05"/>
    <w:rsid w:val="00027A59"/>
    <w:rsid w:val="00073E9C"/>
    <w:rsid w:val="000B2BE5"/>
    <w:rsid w:val="000C2BF3"/>
    <w:rsid w:val="00107CBA"/>
    <w:rsid w:val="0012532A"/>
    <w:rsid w:val="00127FB4"/>
    <w:rsid w:val="001371CD"/>
    <w:rsid w:val="001469B2"/>
    <w:rsid w:val="001A6C1B"/>
    <w:rsid w:val="00216002"/>
    <w:rsid w:val="002B7693"/>
    <w:rsid w:val="002D0B0E"/>
    <w:rsid w:val="00307B79"/>
    <w:rsid w:val="0031028B"/>
    <w:rsid w:val="003114C9"/>
    <w:rsid w:val="003B165B"/>
    <w:rsid w:val="003E196A"/>
    <w:rsid w:val="003F6B9D"/>
    <w:rsid w:val="004057AA"/>
    <w:rsid w:val="004171A9"/>
    <w:rsid w:val="00426785"/>
    <w:rsid w:val="0044534B"/>
    <w:rsid w:val="00484E09"/>
    <w:rsid w:val="004B4CA1"/>
    <w:rsid w:val="004C66D1"/>
    <w:rsid w:val="00505F4C"/>
    <w:rsid w:val="0056769C"/>
    <w:rsid w:val="00574E21"/>
    <w:rsid w:val="005B4AD7"/>
    <w:rsid w:val="005C162B"/>
    <w:rsid w:val="00613D81"/>
    <w:rsid w:val="00625866"/>
    <w:rsid w:val="00673A29"/>
    <w:rsid w:val="00674D06"/>
    <w:rsid w:val="00707BD9"/>
    <w:rsid w:val="007231BF"/>
    <w:rsid w:val="00736EE4"/>
    <w:rsid w:val="00754046"/>
    <w:rsid w:val="007759CA"/>
    <w:rsid w:val="007E30B3"/>
    <w:rsid w:val="00852131"/>
    <w:rsid w:val="00872F05"/>
    <w:rsid w:val="00886CA4"/>
    <w:rsid w:val="00912B76"/>
    <w:rsid w:val="00940B15"/>
    <w:rsid w:val="00954CB6"/>
    <w:rsid w:val="00970733"/>
    <w:rsid w:val="00972836"/>
    <w:rsid w:val="00975598"/>
    <w:rsid w:val="009E3C50"/>
    <w:rsid w:val="00A03805"/>
    <w:rsid w:val="00A2397F"/>
    <w:rsid w:val="00A53DAC"/>
    <w:rsid w:val="00A91880"/>
    <w:rsid w:val="00AC6732"/>
    <w:rsid w:val="00AD5AC5"/>
    <w:rsid w:val="00AF3D77"/>
    <w:rsid w:val="00B07BE9"/>
    <w:rsid w:val="00B11D31"/>
    <w:rsid w:val="00B26967"/>
    <w:rsid w:val="00B3595F"/>
    <w:rsid w:val="00B36C0E"/>
    <w:rsid w:val="00B45281"/>
    <w:rsid w:val="00BB7501"/>
    <w:rsid w:val="00C45512"/>
    <w:rsid w:val="00C600EA"/>
    <w:rsid w:val="00C77DC3"/>
    <w:rsid w:val="00CA09A9"/>
    <w:rsid w:val="00CB2AF2"/>
    <w:rsid w:val="00CE37F2"/>
    <w:rsid w:val="00D246D1"/>
    <w:rsid w:val="00D64D72"/>
    <w:rsid w:val="00D906F6"/>
    <w:rsid w:val="00DB46CF"/>
    <w:rsid w:val="00E508B3"/>
    <w:rsid w:val="00E858AE"/>
    <w:rsid w:val="00E90641"/>
    <w:rsid w:val="00EA6413"/>
    <w:rsid w:val="00EB108A"/>
    <w:rsid w:val="00ED2A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0B71"/>
  <w15:docId w15:val="{EAF2C119-E56C-41CF-886D-0D0A19E4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59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B36C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75598"/>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975598"/>
    <w:rPr>
      <w:rFonts w:ascii="Cambria" w:eastAsia="Times New Roman" w:hAnsi="Cambria" w:cs="Times New Roman"/>
      <w:b/>
      <w:bCs/>
      <w:i/>
      <w:iCs/>
      <w:sz w:val="28"/>
      <w:szCs w:val="28"/>
    </w:rPr>
  </w:style>
  <w:style w:type="table" w:styleId="Tabelacomgrade">
    <w:name w:val="Table Grid"/>
    <w:basedOn w:val="Tabelanormal"/>
    <w:uiPriority w:val="59"/>
    <w:rsid w:val="00B1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613D81"/>
    <w:rPr>
      <w:color w:val="808080"/>
    </w:rPr>
  </w:style>
  <w:style w:type="paragraph" w:styleId="Textodebalo">
    <w:name w:val="Balloon Text"/>
    <w:basedOn w:val="Normal"/>
    <w:link w:val="TextodebaloChar"/>
    <w:uiPriority w:val="99"/>
    <w:semiHidden/>
    <w:unhideWhenUsed/>
    <w:rsid w:val="00613D81"/>
    <w:rPr>
      <w:rFonts w:ascii="Tahoma" w:hAnsi="Tahoma" w:cs="Tahoma"/>
      <w:sz w:val="16"/>
      <w:szCs w:val="16"/>
    </w:rPr>
  </w:style>
  <w:style w:type="character" w:customStyle="1" w:styleId="TextodebaloChar">
    <w:name w:val="Texto de balão Char"/>
    <w:basedOn w:val="Fontepargpadro"/>
    <w:link w:val="Textodebalo"/>
    <w:uiPriority w:val="99"/>
    <w:semiHidden/>
    <w:rsid w:val="00613D81"/>
    <w:rPr>
      <w:rFonts w:ascii="Tahoma" w:eastAsia="Times New Roman" w:hAnsi="Tahoma" w:cs="Tahoma"/>
      <w:sz w:val="16"/>
      <w:szCs w:val="16"/>
      <w:lang w:eastAsia="pt-BR"/>
    </w:rPr>
  </w:style>
  <w:style w:type="character" w:styleId="Forte">
    <w:name w:val="Strong"/>
    <w:basedOn w:val="Fontepargpadro"/>
    <w:uiPriority w:val="22"/>
    <w:qFormat/>
    <w:rsid w:val="00307B79"/>
    <w:rPr>
      <w:b/>
      <w:bCs/>
    </w:rPr>
  </w:style>
  <w:style w:type="paragraph" w:styleId="PargrafodaLista">
    <w:name w:val="List Paragraph"/>
    <w:basedOn w:val="Normal"/>
    <w:uiPriority w:val="34"/>
    <w:qFormat/>
    <w:rsid w:val="002B7693"/>
    <w:pPr>
      <w:ind w:left="720"/>
      <w:contextualSpacing/>
    </w:pPr>
  </w:style>
  <w:style w:type="paragraph" w:styleId="NormalWeb">
    <w:name w:val="Normal (Web)"/>
    <w:basedOn w:val="Normal"/>
    <w:uiPriority w:val="99"/>
    <w:semiHidden/>
    <w:unhideWhenUsed/>
    <w:rsid w:val="00852131"/>
    <w:pPr>
      <w:spacing w:before="100" w:beforeAutospacing="1" w:after="100" w:afterAutospacing="1"/>
    </w:pPr>
    <w:rPr>
      <w:sz w:val="24"/>
      <w:szCs w:val="24"/>
    </w:rPr>
  </w:style>
  <w:style w:type="character" w:customStyle="1" w:styleId="Ttulo1Char">
    <w:name w:val="Título 1 Char"/>
    <w:basedOn w:val="Fontepargpadro"/>
    <w:link w:val="Ttulo1"/>
    <w:uiPriority w:val="9"/>
    <w:rsid w:val="00B36C0E"/>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semiHidden/>
    <w:unhideWhenUsed/>
    <w:rsid w:val="00E508B3"/>
    <w:pPr>
      <w:ind w:left="2880"/>
      <w:jc w:val="both"/>
    </w:pPr>
    <w:rPr>
      <w:b/>
      <w:bCs/>
      <w:sz w:val="24"/>
      <w:szCs w:val="24"/>
      <w:lang w:val="x-none" w:eastAsia="x-none"/>
    </w:rPr>
  </w:style>
  <w:style w:type="character" w:customStyle="1" w:styleId="RecuodecorpodetextoChar">
    <w:name w:val="Recuo de corpo de texto Char"/>
    <w:basedOn w:val="Fontepargpadro"/>
    <w:link w:val="Recuodecorpodetexto"/>
    <w:semiHidden/>
    <w:rsid w:val="00E508B3"/>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23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1040</Words>
  <Characters>5617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Minéia Gund</dc:creator>
  <cp:lastModifiedBy>Timoteo</cp:lastModifiedBy>
  <cp:revision>10</cp:revision>
  <cp:lastPrinted>2021-10-28T12:06:00Z</cp:lastPrinted>
  <dcterms:created xsi:type="dcterms:W3CDTF">2021-10-25T17:07:00Z</dcterms:created>
  <dcterms:modified xsi:type="dcterms:W3CDTF">2021-10-28T12:22:00Z</dcterms:modified>
</cp:coreProperties>
</file>