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5839" w:rsidRPr="00990820" w:rsidRDefault="005616F7" w:rsidP="00E009F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990820">
        <w:rPr>
          <w:rFonts w:ascii="Times New Roman" w:hAnsi="Times New Roman" w:hint="default"/>
          <w:b/>
          <w:sz w:val="24"/>
          <w:szCs w:val="24"/>
        </w:rPr>
        <w:t>REQUERIMENTO Nº</w:t>
      </w:r>
      <w:r w:rsidR="00BE71B2" w:rsidRPr="00990820">
        <w:rPr>
          <w:rFonts w:ascii="Times New Roman" w:hAnsi="Times New Roman" w:hint="default"/>
          <w:b/>
          <w:sz w:val="24"/>
          <w:szCs w:val="24"/>
        </w:rPr>
        <w:t xml:space="preserve"> 314/2023</w:t>
      </w:r>
    </w:p>
    <w:p w:rsidR="00E009F5" w:rsidRPr="00990820" w:rsidRDefault="00E009F5" w:rsidP="00E009F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E009F5" w:rsidRPr="00990820" w:rsidRDefault="00E009F5" w:rsidP="00E009F5">
      <w:pPr>
        <w:tabs>
          <w:tab w:val="left" w:pos="944"/>
          <w:tab w:val="left" w:pos="2700"/>
        </w:tabs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195839" w:rsidRPr="00990820" w:rsidRDefault="005616F7" w:rsidP="00E009F5">
      <w:pPr>
        <w:tabs>
          <w:tab w:val="left" w:pos="944"/>
        </w:tabs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990820">
        <w:rPr>
          <w:rFonts w:ascii="Times New Roman" w:hAnsi="Times New Roman" w:hint="default"/>
          <w:color w:val="000000"/>
          <w:sz w:val="24"/>
          <w:szCs w:val="24"/>
        </w:rPr>
        <w:tab/>
      </w:r>
      <w:r w:rsidRPr="00990820">
        <w:rPr>
          <w:rFonts w:ascii="Times New Roman" w:hAnsi="Times New Roman" w:hint="default"/>
          <w:color w:val="000000"/>
          <w:sz w:val="24"/>
          <w:szCs w:val="24"/>
        </w:rPr>
        <w:tab/>
      </w:r>
      <w:r w:rsidRPr="00990820">
        <w:rPr>
          <w:rFonts w:ascii="Times New Roman" w:hAnsi="Times New Roman" w:hint="default"/>
          <w:color w:val="000000"/>
          <w:sz w:val="24"/>
          <w:szCs w:val="24"/>
        </w:rPr>
        <w:tab/>
      </w:r>
      <w:r w:rsidRPr="00990820">
        <w:rPr>
          <w:rFonts w:ascii="Times New Roman" w:hAnsi="Times New Roman" w:hint="default"/>
          <w:color w:val="000000"/>
          <w:sz w:val="24"/>
          <w:szCs w:val="24"/>
        </w:rPr>
        <w:tab/>
      </w:r>
    </w:p>
    <w:p w:rsidR="00990820" w:rsidRPr="00990820" w:rsidRDefault="00990820" w:rsidP="00990820">
      <w:pPr>
        <w:tabs>
          <w:tab w:val="left" w:pos="944"/>
        </w:tabs>
        <w:ind w:firstLine="1417"/>
        <w:jc w:val="both"/>
        <w:rPr>
          <w:rFonts w:ascii="Times New Roman" w:hAnsi="Times New Roman"/>
          <w:color w:val="000000"/>
          <w:sz w:val="24"/>
          <w:szCs w:val="24"/>
        </w:rPr>
      </w:pPr>
      <w:r w:rsidRPr="00990820">
        <w:rPr>
          <w:rFonts w:ascii="Times New Roman" w:hAnsi="Times New Roman"/>
          <w:color w:val="000000"/>
          <w:sz w:val="24"/>
          <w:szCs w:val="24"/>
        </w:rPr>
        <w:tab/>
      </w:r>
      <w:r w:rsidRPr="00990820">
        <w:rPr>
          <w:rFonts w:ascii="Times New Roman" w:hAnsi="Times New Roman"/>
          <w:color w:val="000000"/>
          <w:sz w:val="24"/>
          <w:szCs w:val="24"/>
        </w:rPr>
        <w:tab/>
      </w:r>
      <w:r w:rsidRPr="00990820">
        <w:rPr>
          <w:rFonts w:ascii="Times New Roman" w:hAnsi="Times New Roman"/>
          <w:color w:val="000000"/>
          <w:sz w:val="24"/>
          <w:szCs w:val="24"/>
        </w:rPr>
        <w:tab/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/>
          <w:color w:val="000000"/>
          <w:sz w:val="24"/>
          <w:szCs w:val="24"/>
        </w:rPr>
        <w:t xml:space="preserve">WANDERLEY PAULO – PROGRESSISTAS </w:t>
      </w:r>
      <w:r w:rsidRPr="00990820">
        <w:rPr>
          <w:rFonts w:ascii="Times New Roman" w:hAnsi="Times New Roman"/>
          <w:bCs/>
          <w:color w:val="000000"/>
          <w:sz w:val="24"/>
          <w:szCs w:val="24"/>
        </w:rPr>
        <w:t xml:space="preserve">e vereadores abaixo assinados, com assento nesta Casa de Leis, com fulcro nos Artigos 118 e 121 do Regimento Interno, no cumprimento do dever, requerem a Mesa, que este expediente seja encaminhado aos Excelentíssimos Senhores Deputados Federais pelo Estado de Mato Grosso: Abilio Brunini (PL), Amália Barros (PL), Coronel Assis (União), Coronel Fernanda (PL), Emanuel Pinheiro Neto (MDB), Fábio Gárcia (União), Flavinha (MDB), aos </w:t>
      </w:r>
      <w:r w:rsidRPr="00990820">
        <w:rPr>
          <w:rFonts w:ascii="Times New Roman" w:hAnsi="Times New Roman" w:hint="default"/>
          <w:bCs/>
          <w:color w:val="000000"/>
          <w:sz w:val="24"/>
          <w:szCs w:val="24"/>
        </w:rPr>
        <w:t>Excelentíssimos</w:t>
      </w:r>
      <w:r w:rsidRPr="00990820">
        <w:rPr>
          <w:rFonts w:ascii="Times New Roman" w:hAnsi="Times New Roman"/>
          <w:bCs/>
          <w:color w:val="000000"/>
          <w:sz w:val="24"/>
          <w:szCs w:val="24"/>
        </w:rPr>
        <w:t xml:space="preserve"> Senhores Senadores da República por Mato Grosso, Wellington Fagundes, Jayme campos e Margareth Buzetti, ao Exmo. Sr. José Renan Vasconcelos Calheiros Filho, Ministro dos Transportes e ao Exmo. Sr. Carlos Fávaro, Ministro da Agricultura, Pecuária e Abastecimento, </w:t>
      </w:r>
      <w:r w:rsidRPr="00990820">
        <w:rPr>
          <w:rFonts w:ascii="Times New Roman" w:hAnsi="Times New Roman"/>
          <w:b/>
          <w:bCs/>
          <w:color w:val="000000"/>
          <w:sz w:val="24"/>
          <w:szCs w:val="24"/>
        </w:rPr>
        <w:t>requerendo a realização de uma Audiência Pública</w:t>
      </w:r>
      <w:r w:rsidRPr="00990820">
        <w:rPr>
          <w:rFonts w:ascii="Times New Roman" w:hAnsi="Times New Roman" w:hint="default"/>
          <w:b/>
          <w:bCs/>
          <w:color w:val="000000"/>
          <w:sz w:val="24"/>
          <w:szCs w:val="24"/>
        </w:rPr>
        <w:t>,</w:t>
      </w:r>
      <w:r w:rsidRPr="00990820">
        <w:rPr>
          <w:rFonts w:ascii="Times New Roman" w:hAnsi="Times New Roman"/>
          <w:b/>
          <w:bCs/>
          <w:color w:val="000000"/>
          <w:sz w:val="24"/>
          <w:szCs w:val="24"/>
        </w:rPr>
        <w:t xml:space="preserve"> pelo Congresso Nacional, em parceria com todos os Ministérios envolvidos na construção e elaboração da Ferrovia Ferrogrão, para tratar sobre a implantação de um porto seco e a implantação dos trilhos da Ferrogrão até o município de Sorriso-MT.</w:t>
      </w:r>
    </w:p>
    <w:p w:rsidR="00990820" w:rsidRDefault="00990820" w:rsidP="0099082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990820" w:rsidRPr="00990820" w:rsidRDefault="00990820" w:rsidP="00990820">
      <w:pPr>
        <w:tabs>
          <w:tab w:val="left" w:pos="944"/>
          <w:tab w:val="left" w:pos="2700"/>
        </w:tabs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/>
          <w:color w:val="000000"/>
          <w:sz w:val="24"/>
          <w:szCs w:val="24"/>
        </w:rPr>
        <w:t>JUSTIFICATIVA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>Considerando que, Sorriso é um município brasileiro do estado de Mato Grosso, reconhecido como a Capital Nacional do Agronegócio e o maior produtor individual de soja do mundo. Segundo levantamento feito pelo IBGE, ocupa atualmente a terceira posição no ranking das maiores economias agrícolas do País. Pertence a microrregião de Alto Teles Pires e mesorregião do Norte Mato-grossense e sua população é estimada em 110.645 habitantes, conforme Censo 2022 - IBGE.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>Considerando que, Sorriso teve a maior produção agrícola em 2021, chegando a incríveis R$ 9,9 bilhões, ficando em 1º lugar em comparação aos outros municípios e se tornando uma das cidades agrícolas mais ricas do Brasil (segundo dados da Pesquisa Municipal Agrícola 2022). Atualmente a cidade está com população de 110.645 pessoas (Censo 2022), e o PIB per capita está R$ 98.278,56 (2020). É a cidade brasileira que mais dedica terras para o plantio: tem 60% de sua área ocupada por lavouras – 600.000 Hectares de área cultivada segundo o Instituto Brasileiro de Geografia e Estatística (IBGE). Emancipada há cerca de três décadas, Sorriso escoa para o mundo 2 milhões de toneladas de soja por ano. “A gente respira agro, come agro.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  <w:r w:rsidRPr="00990820">
        <w:rPr>
          <w:rFonts w:ascii="Times New Roman" w:eastAsia="Arial" w:hAnsi="Times New Roman"/>
          <w:sz w:val="24"/>
          <w:szCs w:val="24"/>
          <w:shd w:val="clear" w:color="auto" w:fill="FFFFFF"/>
        </w:rPr>
        <w:t>Considerando que, entre os municípios, Sorriso (MT) liderou pela quarta vez consecutiva, alcançando R$ 11,5 bilhões em valor da produção e respondendo por 1,4% do total nacional. Sorriso também teve o maior valor de produção em soja (R$ 5,8 bilhões) e milho (R$ 4,2 bilhões). O município mato-grossense também foi o quinto maior produtor de algodão herbáceo (em caroço), obtendo R$ 1,3 bilhão, e o quarto maior produtor de feijão, com 46.350 toneladas que geraram R$ 152,5 milhões, conforme dados da Produção Agrícola Municipal (IBGE).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eastAsia="Arial" w:hAnsi="Times New Roman"/>
          <w:sz w:val="24"/>
          <w:szCs w:val="24"/>
          <w:shd w:val="clear" w:color="auto" w:fill="FFFFFF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>Considerando que, o no Projeto inicial da ferrovia, o municipio de Sorriso iria receber o porto seco e os trilhos da ferrovia e no atual projeto o municipio não faz parte no traçado da ferrovia.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 xml:space="preserve">Considerando que os produtores de Sorriso, bem como as grandes empresas do </w:t>
      </w:r>
      <w:r w:rsidRPr="00990820">
        <w:rPr>
          <w:rFonts w:ascii="Times New Roman" w:hAnsi="Times New Roman"/>
          <w:bCs/>
          <w:color w:val="000000"/>
          <w:sz w:val="24"/>
          <w:szCs w:val="24"/>
        </w:rPr>
        <w:lastRenderedPageBreak/>
        <w:t>agronegocio, desejam que Sorriso receba o porto seco e os trilhos da ferrograo;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>Considerando, que a Ferrogrão visa consolidar o novo corredor ferroviário de exportação do Brasil pelo Arco Norte. A ferrovia conta com uma extensão de 933 km, conectando a região produtora de grãos do Centro-Oeste ao Estado do Pará, desembocando no Porto de Miritituba. Estão previstos, também, o ramal de Santarenzinho, entre Itaituba e Santarenzinho, no município de Rurópolis/PA, com 32 km, e o ramal de Itapacurá, com 11 km.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 xml:space="preserve">Considerando que, quando finalizada, a Ferrogrão terá alta capacidade de transporte e competitividade no escoamento da produção pelo Arco Norte, papel esse que, hoje, é desempenhado pela rodovia BR-163. O corredor a ser consolidado pela EF-170 e a rodovia BR-163 consolidará uma nova rota para a exportação da soja e do milho no Brasil. 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 w:hint="default"/>
          <w:bCs/>
          <w:color w:val="000000"/>
          <w:sz w:val="24"/>
          <w:szCs w:val="24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>Considerando O empreendimento aliviará as condições de tráfego nessa rodovia, com o objetivo de diminuir o fluxo de caminhões pesados e os custos com a conservação e a manutenção. Ao aliviar o tráfego de caminhões na BR-163, o transporte ferroviário de carga apresenta alto potencial de redução nas emissões de carbono pela queima de combustível fóssil. Este potencial de redução possibilita que o empreendimento atenda premissas orientadas pelo Climate Bonds Initiative - CBI para permitir futuras emissões de títulos verdes via instrumentos de crédito.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>Considerando que, o projeto faz frente à expansão da fronteira agrícola brasileira e à demanda por uma infraestrutura integrada de transportes de carga.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>Considerando que, o projeto é um importante fator de desenvolvimento da infraestrutura logística das áreas agricultáveis localizadas no Estado de Mato Grosso, possibilitando à região uma maior eficiência no escoamento da produção, a menor custo logístico, promovendo ganhos significativos de produtividade e reduzindo a necessidade de abertura de novas áreas.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>Considerando que, o trecho cumprirá um papel estruturante para o escoamento da produção de milho, soja e farelo de soja do Estado do Mato Grosso, prevendo-se ainda o transporte de óleo de soja, fertilizantes, açúcar, etanol e derivados do petróleo.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>Considerando que, hoje mais de 70% da safra mato-grossense é escoada pelos portos de Santos/SP e de Paranaguá/PR, a mais de dois mil quilômetros da origem. Esse cenário mostra a relevância do projeto dentro do sistema logístico de cargas do País, sendo um diferencial para a sua atratividade junto a potenciais investidores.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>Considerando que para a modelagem da concessão, está sendo adotado o modelo vertical de exploração da ferrovia, no qual uma única empresa é responsável pela gestão da infraestrutura e prestação do serviço de transporte.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>Considerando que, por ser um projeto previsto para ser implantado paralelamente à BR-163, a ferrovia poderá cumprir importante fator inibidor ao desmatamento, uma vez que bloqueia a abertura de ramais à BR (efeito espinha de peixe) nesta margem da rodovia, quando implantada.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>Portanto, temos que buscar solução de um problema logístico e ganhar mais produtividade no cenário nacional.</w:t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lastRenderedPageBreak/>
        <w:t>Considerando que será realizad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>a</w:t>
      </w:r>
      <w:r w:rsidRPr="00990820">
        <w:rPr>
          <w:rFonts w:ascii="Times New Roman" w:hAnsi="Times New Roman"/>
          <w:bCs/>
          <w:color w:val="000000"/>
          <w:sz w:val="24"/>
          <w:szCs w:val="24"/>
        </w:rPr>
        <w:t xml:space="preserve"> uma Audiência Pública igual à esta</w:t>
      </w:r>
      <w:r>
        <w:rPr>
          <w:rFonts w:ascii="Times New Roman" w:hAnsi="Times New Roman" w:hint="default"/>
          <w:bCs/>
          <w:color w:val="000000"/>
          <w:sz w:val="24"/>
          <w:szCs w:val="24"/>
        </w:rPr>
        <w:t>,</w:t>
      </w:r>
      <w:r w:rsidRPr="00990820">
        <w:rPr>
          <w:rFonts w:ascii="Times New Roman" w:hAnsi="Times New Roman"/>
          <w:bCs/>
          <w:color w:val="000000"/>
          <w:sz w:val="24"/>
          <w:szCs w:val="24"/>
        </w:rPr>
        <w:t xml:space="preserve"> no Estado do Pará.</w:t>
      </w:r>
    </w:p>
    <w:p w:rsidR="00990820" w:rsidRPr="00990820" w:rsidRDefault="00990820" w:rsidP="00990820">
      <w:pPr>
        <w:tabs>
          <w:tab w:val="left" w:pos="944"/>
          <w:tab w:val="left" w:pos="2700"/>
        </w:tabs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990820" w:rsidRPr="00990820" w:rsidRDefault="00990820" w:rsidP="00990820">
      <w:pPr>
        <w:tabs>
          <w:tab w:val="left" w:pos="944"/>
          <w:tab w:val="left" w:pos="2700"/>
        </w:tabs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90820">
        <w:rPr>
          <w:rFonts w:ascii="Times New Roman" w:hAnsi="Times New Roman"/>
          <w:bCs/>
          <w:color w:val="000000"/>
          <w:sz w:val="24"/>
          <w:szCs w:val="24"/>
        </w:rPr>
        <w:t>Solicitamos assim, diante do apresentado, a realização dessa audiência pública com todos os ministérios envolvidos na construção e elaboração da Ferrogrão, pela importância de Sorriso e pela logística de entroncamento rodoviário BR-163 e BR-242.</w:t>
      </w:r>
    </w:p>
    <w:p w:rsidR="00990820" w:rsidRDefault="00990820" w:rsidP="00990820">
      <w:pPr>
        <w:ind w:firstLine="1418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990820" w:rsidRPr="00990820" w:rsidRDefault="00990820" w:rsidP="00990820">
      <w:pPr>
        <w:ind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0820" w:rsidRDefault="00990820" w:rsidP="00990820">
      <w:pPr>
        <w:ind w:firstLine="1418"/>
        <w:jc w:val="both"/>
        <w:rPr>
          <w:rFonts w:ascii="Times New Roman" w:hAnsi="Times New Roman"/>
          <w:color w:val="000000"/>
          <w:sz w:val="22"/>
          <w:szCs w:val="22"/>
        </w:rPr>
      </w:pPr>
      <w:r w:rsidRPr="00990820">
        <w:rPr>
          <w:rFonts w:ascii="Times New Roman" w:hAnsi="Times New Roman"/>
          <w:color w:val="000000"/>
          <w:sz w:val="24"/>
          <w:szCs w:val="24"/>
        </w:rPr>
        <w:t>Câmara Municipal de Sorriso, Estado de Mato Grosso, 25 de outubro de 2023.</w:t>
      </w:r>
    </w:p>
    <w:p w:rsidR="00990820" w:rsidRDefault="00990820" w:rsidP="00990820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0820" w:rsidRDefault="00990820" w:rsidP="00990820">
      <w:pPr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:rsidR="00990820" w:rsidRDefault="00990820" w:rsidP="00990820">
      <w:pPr>
        <w:jc w:val="both"/>
        <w:rPr>
          <w:rFonts w:ascii="Times New Roman" w:hAnsi="Times New Roman" w:hint="default"/>
          <w:color w:val="000000"/>
          <w:sz w:val="22"/>
          <w:szCs w:val="22"/>
        </w:rPr>
      </w:pPr>
    </w:p>
    <w:p w:rsidR="00990820" w:rsidRDefault="00990820" w:rsidP="00990820">
      <w:pPr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90820" w:rsidRDefault="00990820" w:rsidP="00990820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WANDERLEY PAULO</w:t>
      </w:r>
    </w:p>
    <w:p w:rsidR="00990820" w:rsidRDefault="00990820" w:rsidP="00990820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Vereador Progressistas</w:t>
      </w:r>
    </w:p>
    <w:p w:rsidR="00990820" w:rsidRDefault="00990820" w:rsidP="00990820">
      <w:pPr>
        <w:jc w:val="center"/>
        <w:rPr>
          <w:rFonts w:ascii="Times New Roman" w:hAnsi="Times New Roman" w:hint="default"/>
          <w:b/>
          <w:color w:val="000000"/>
          <w:sz w:val="22"/>
          <w:szCs w:val="22"/>
        </w:rPr>
      </w:pPr>
    </w:p>
    <w:p w:rsidR="00990820" w:rsidRDefault="00990820" w:rsidP="00990820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990820" w:rsidRDefault="00990820" w:rsidP="00990820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990820" w:rsidRDefault="00990820" w:rsidP="00990820">
      <w:pPr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815"/>
        <w:gridCol w:w="1629"/>
        <w:gridCol w:w="1630"/>
        <w:gridCol w:w="815"/>
        <w:gridCol w:w="2445"/>
      </w:tblGrid>
      <w:tr w:rsidR="00990820" w:rsidTr="00990820">
        <w:trPr>
          <w:trHeight w:val="778"/>
        </w:trPr>
        <w:tc>
          <w:tcPr>
            <w:tcW w:w="2444" w:type="dxa"/>
            <w:hideMark/>
          </w:tcPr>
          <w:p w:rsidR="00990820" w:rsidRDefault="009908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990820" w:rsidRDefault="009908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4" w:type="dxa"/>
            <w:gridSpan w:val="2"/>
            <w:hideMark/>
          </w:tcPr>
          <w:p w:rsidR="00990820" w:rsidRDefault="009908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990820" w:rsidRDefault="009908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5" w:type="dxa"/>
            <w:gridSpan w:val="2"/>
            <w:hideMark/>
          </w:tcPr>
          <w:p w:rsidR="00990820" w:rsidRDefault="009908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990820" w:rsidRDefault="009908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990820" w:rsidRDefault="00990820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990820" w:rsidRDefault="00990820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990820" w:rsidRDefault="00990820">
            <w:pPr>
              <w:jc w:val="center"/>
              <w:rPr>
                <w:rFonts w:ascii="Times New Roman" w:hAnsi="Times New Roman" w:hint="default"/>
                <w:b/>
                <w:color w:val="000000"/>
                <w:sz w:val="22"/>
                <w:szCs w:val="22"/>
                <w:lang w:eastAsia="en-US"/>
              </w:rPr>
            </w:pPr>
          </w:p>
          <w:p w:rsidR="00990820" w:rsidRDefault="009908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90820" w:rsidRDefault="00990820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990820" w:rsidTr="00990820">
        <w:trPr>
          <w:trHeight w:val="599"/>
        </w:trPr>
        <w:tc>
          <w:tcPr>
            <w:tcW w:w="3259" w:type="dxa"/>
            <w:gridSpan w:val="2"/>
          </w:tcPr>
          <w:p w:rsidR="00990820" w:rsidRDefault="009908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990820" w:rsidRDefault="00990820">
            <w:pPr>
              <w:jc w:val="center"/>
              <w:rPr>
                <w:rFonts w:ascii="Times New Roman" w:hAnsi="Times New Roman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990820" w:rsidRDefault="009908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gridSpan w:val="2"/>
          </w:tcPr>
          <w:p w:rsidR="00990820" w:rsidRDefault="009908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ACACIO AMBROSINI</w:t>
            </w:r>
          </w:p>
          <w:p w:rsidR="00990820" w:rsidRDefault="009908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Vereador Republicanos</w:t>
            </w:r>
          </w:p>
          <w:p w:rsidR="00990820" w:rsidRDefault="009908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990820" w:rsidRDefault="009908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  <w:p w:rsidR="00990820" w:rsidRDefault="009908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gridSpan w:val="2"/>
          </w:tcPr>
          <w:p w:rsidR="00990820" w:rsidRDefault="009908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990820" w:rsidRDefault="009908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990820" w:rsidRDefault="0099082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990820" w:rsidRDefault="009908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990820" w:rsidTr="00990820">
        <w:trPr>
          <w:trHeight w:val="498"/>
        </w:trPr>
        <w:tc>
          <w:tcPr>
            <w:tcW w:w="3259" w:type="dxa"/>
            <w:gridSpan w:val="2"/>
            <w:hideMark/>
          </w:tcPr>
          <w:p w:rsidR="00990820" w:rsidRDefault="0099082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MACHADO</w:t>
            </w:r>
          </w:p>
          <w:p w:rsidR="00990820" w:rsidRDefault="009908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259" w:type="dxa"/>
            <w:gridSpan w:val="2"/>
            <w:hideMark/>
          </w:tcPr>
          <w:p w:rsidR="00990820" w:rsidRDefault="0099082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MAURICIO GOMES</w:t>
            </w:r>
          </w:p>
          <w:p w:rsidR="00990820" w:rsidRDefault="009908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Vereador PSB</w:t>
            </w:r>
          </w:p>
        </w:tc>
        <w:tc>
          <w:tcPr>
            <w:tcW w:w="3260" w:type="dxa"/>
            <w:gridSpan w:val="2"/>
            <w:hideMark/>
          </w:tcPr>
          <w:p w:rsidR="00990820" w:rsidRDefault="009908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DIOGO KRIGUER</w:t>
            </w:r>
          </w:p>
          <w:p w:rsidR="00990820" w:rsidRDefault="00990820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990820" w:rsidRDefault="00990820" w:rsidP="00990820">
      <w:pPr>
        <w:rPr>
          <w:sz w:val="22"/>
          <w:szCs w:val="22"/>
        </w:rPr>
      </w:pPr>
    </w:p>
    <w:sectPr w:rsidR="00990820" w:rsidSect="00E009F5">
      <w:headerReference w:type="default" r:id="rId6"/>
      <w:footerReference w:type="default" r:id="rId7"/>
      <w:pgSz w:w="11906" w:h="16838"/>
      <w:pgMar w:top="2551" w:right="849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EB" w:rsidRDefault="006C5AEB">
      <w:pPr>
        <w:rPr>
          <w:rFonts w:hint="default"/>
        </w:rPr>
      </w:pPr>
      <w:r>
        <w:separator/>
      </w:r>
    </w:p>
  </w:endnote>
  <w:endnote w:type="continuationSeparator" w:id="0">
    <w:p w:rsidR="006C5AEB" w:rsidRDefault="006C5AE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3597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F3177" w:rsidRDefault="006F3177">
            <w:pPr>
              <w:pStyle w:val="Rodap"/>
              <w:jc w:val="right"/>
              <w:rPr>
                <w:rFonts w:hint="default"/>
              </w:rPr>
            </w:pPr>
            <w:r w:rsidRPr="006F3177">
              <w:rPr>
                <w:rFonts w:ascii="Times New Roman" w:hAnsi="Times New Roman" w:hint="default"/>
                <w:sz w:val="16"/>
                <w:szCs w:val="16"/>
              </w:rPr>
              <w:t xml:space="preserve">Página </w:t>
            </w:r>
            <w:r w:rsidRPr="006F3177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fldChar w:fldCharType="begin"/>
            </w:r>
            <w:r w:rsidRPr="006F3177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instrText>PAGE</w:instrText>
            </w:r>
            <w:r w:rsidRPr="006F3177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fldChar w:fldCharType="separate"/>
            </w:r>
            <w:r w:rsidR="00990820">
              <w:rPr>
                <w:rFonts w:ascii="Times New Roman" w:hAnsi="Times New Roman" w:hint="default"/>
                <w:b/>
                <w:bCs/>
                <w:noProof/>
                <w:sz w:val="16"/>
                <w:szCs w:val="16"/>
              </w:rPr>
              <w:t>3</w:t>
            </w:r>
            <w:r w:rsidRPr="006F3177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fldChar w:fldCharType="end"/>
            </w:r>
            <w:r w:rsidRPr="006F3177">
              <w:rPr>
                <w:rFonts w:ascii="Times New Roman" w:hAnsi="Times New Roman" w:hint="default"/>
                <w:sz w:val="16"/>
                <w:szCs w:val="16"/>
              </w:rPr>
              <w:t xml:space="preserve"> de </w:t>
            </w:r>
            <w:r w:rsidRPr="006F3177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fldChar w:fldCharType="begin"/>
            </w:r>
            <w:r w:rsidRPr="006F3177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instrText>NUMPAGES</w:instrText>
            </w:r>
            <w:r w:rsidRPr="006F3177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fldChar w:fldCharType="separate"/>
            </w:r>
            <w:r w:rsidR="00990820">
              <w:rPr>
                <w:rFonts w:ascii="Times New Roman" w:hAnsi="Times New Roman" w:hint="default"/>
                <w:b/>
                <w:bCs/>
                <w:noProof/>
                <w:sz w:val="16"/>
                <w:szCs w:val="16"/>
              </w:rPr>
              <w:t>3</w:t>
            </w:r>
            <w:r w:rsidRPr="006F3177">
              <w:rPr>
                <w:rFonts w:ascii="Times New Roman" w:hAnsi="Times New Roman" w:hint="defaul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F3177" w:rsidRDefault="006F3177">
    <w:pPr>
      <w:pStyle w:val="Rodap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EB" w:rsidRDefault="006C5AEB">
      <w:pPr>
        <w:rPr>
          <w:rFonts w:hint="default"/>
        </w:rPr>
      </w:pPr>
      <w:r>
        <w:separator/>
      </w:r>
    </w:p>
  </w:footnote>
  <w:footnote w:type="continuationSeparator" w:id="0">
    <w:p w:rsidR="006C5AEB" w:rsidRDefault="006C5AEB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839" w:rsidRDefault="00195839">
    <w:pPr>
      <w:jc w:val="right"/>
      <w:rPr>
        <w:rFonts w:ascii="Times New Roman" w:hint="default"/>
        <w:b/>
        <w:sz w:val="24"/>
      </w:rPr>
    </w:pPr>
  </w:p>
  <w:p w:rsidR="00195839" w:rsidRDefault="00195839">
    <w:pPr>
      <w:jc w:val="right"/>
      <w:rPr>
        <w:rFonts w:ascii="Times New Roman" w:hint="default"/>
        <w:b/>
        <w:sz w:val="24"/>
      </w:rPr>
    </w:pPr>
  </w:p>
  <w:p w:rsidR="00195839" w:rsidRDefault="00195839">
    <w:pPr>
      <w:jc w:val="right"/>
      <w:rPr>
        <w:rFonts w:ascii="Times New Roman" w:hint="default"/>
        <w:b/>
        <w:sz w:val="24"/>
      </w:rPr>
    </w:pPr>
  </w:p>
  <w:p w:rsidR="00195839" w:rsidRDefault="00195839">
    <w:pPr>
      <w:jc w:val="right"/>
      <w:rPr>
        <w:rFonts w:ascii="Times New Roman" w:hint="default"/>
        <w:b/>
        <w:sz w:val="24"/>
      </w:rPr>
    </w:pPr>
  </w:p>
  <w:p w:rsidR="00195839" w:rsidRDefault="00195839">
    <w:pPr>
      <w:jc w:val="right"/>
      <w:rPr>
        <w:rFonts w:ascii="Times New Roman" w:hint="default"/>
        <w:b/>
        <w:sz w:val="24"/>
      </w:rPr>
    </w:pPr>
  </w:p>
  <w:p w:rsidR="00195839" w:rsidRDefault="00195839">
    <w:pPr>
      <w:jc w:val="right"/>
      <w:rPr>
        <w:rFonts w:ascii="Times New Roman" w:hint="default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4A5E"/>
    <w:rsid w:val="00145AAB"/>
    <w:rsid w:val="00172A27"/>
    <w:rsid w:val="00195839"/>
    <w:rsid w:val="00400DBF"/>
    <w:rsid w:val="004344FD"/>
    <w:rsid w:val="005616F7"/>
    <w:rsid w:val="006426BF"/>
    <w:rsid w:val="006C5AEB"/>
    <w:rsid w:val="006F0E5E"/>
    <w:rsid w:val="006F3177"/>
    <w:rsid w:val="007B6AEB"/>
    <w:rsid w:val="00990820"/>
    <w:rsid w:val="00A27F01"/>
    <w:rsid w:val="00B339AC"/>
    <w:rsid w:val="00BE71B2"/>
    <w:rsid w:val="00E009F5"/>
    <w:rsid w:val="00E705EB"/>
    <w:rsid w:val="00F8420C"/>
    <w:rsid w:val="00FE4284"/>
    <w:rsid w:val="01901D87"/>
    <w:rsid w:val="06113745"/>
    <w:rsid w:val="07E91AEF"/>
    <w:rsid w:val="08513F81"/>
    <w:rsid w:val="09520649"/>
    <w:rsid w:val="11D03985"/>
    <w:rsid w:val="133049A0"/>
    <w:rsid w:val="16227C58"/>
    <w:rsid w:val="191E24DD"/>
    <w:rsid w:val="19560DE8"/>
    <w:rsid w:val="1B3804B5"/>
    <w:rsid w:val="1E0E7E1A"/>
    <w:rsid w:val="242F24F2"/>
    <w:rsid w:val="262906E2"/>
    <w:rsid w:val="299709C7"/>
    <w:rsid w:val="2CBE448B"/>
    <w:rsid w:val="2CD447DA"/>
    <w:rsid w:val="32712EDC"/>
    <w:rsid w:val="33D5295B"/>
    <w:rsid w:val="3C0E03D5"/>
    <w:rsid w:val="42312AD7"/>
    <w:rsid w:val="44962A8F"/>
    <w:rsid w:val="45407D49"/>
    <w:rsid w:val="4B9347B1"/>
    <w:rsid w:val="4F7A6336"/>
    <w:rsid w:val="529A6598"/>
    <w:rsid w:val="52BD29A8"/>
    <w:rsid w:val="53897FF3"/>
    <w:rsid w:val="55C57B89"/>
    <w:rsid w:val="5A707821"/>
    <w:rsid w:val="5A771349"/>
    <w:rsid w:val="5A9708B0"/>
    <w:rsid w:val="62E32015"/>
    <w:rsid w:val="635E0C5F"/>
    <w:rsid w:val="6727153C"/>
    <w:rsid w:val="6AED32D6"/>
    <w:rsid w:val="6BC92151"/>
    <w:rsid w:val="6C283A09"/>
    <w:rsid w:val="6FA20181"/>
    <w:rsid w:val="70AB2742"/>
    <w:rsid w:val="741E1FF6"/>
    <w:rsid w:val="756B7BF4"/>
    <w:rsid w:val="78B16F57"/>
    <w:rsid w:val="7E27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414A2"/>
  <w15:docId w15:val="{68373E66-E398-4719-8822-65C30AA6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footnote text" w:qFormat="1"/>
    <w:lsdException w:name="header" w:unhideWhenUsed="1" w:qFormat="1"/>
    <w:lsdException w:name="footer" w:unhideWhenUsed="1" w:qFormat="1"/>
    <w:lsdException w:name="caption" w:semiHidden="1" w:uiPriority="35" w:unhideWhenUsed="1" w:qFormat="1"/>
    <w:lsdException w:name="footnote reference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eastAsia="Times New Roman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Segoe UI" w:hAnsi="Segoe UI"/>
      <w:sz w:val="18"/>
    </w:rPr>
  </w:style>
  <w:style w:type="paragraph" w:styleId="Textodenotaderodap">
    <w:name w:val="footnote text"/>
    <w:basedOn w:val="Normal"/>
    <w:uiPriority w:val="99"/>
    <w:qFormat/>
    <w:pPr>
      <w:snapToGrid w:val="0"/>
    </w:pPr>
    <w:rPr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qFormat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qFormat/>
    <w:pPr>
      <w:autoSpaceDE w:val="0"/>
      <w:autoSpaceDN w:val="0"/>
      <w:adjustRightInd w:val="0"/>
    </w:pPr>
    <w:rPr>
      <w:rFonts w:ascii="Arial" w:eastAsia="Times New Roman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qFormat/>
    <w:pPr>
      <w:jc w:val="center"/>
    </w:pPr>
    <w:rPr>
      <w:rFonts w:eastAsia="Times New Roman"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qFormat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qFormat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qFormat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qFormat/>
    <w:locked/>
    <w:rPr>
      <w:rFonts w:ascii="Segoe UI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1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1087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9</cp:revision>
  <cp:lastPrinted>2023-10-27T15:31:00Z</cp:lastPrinted>
  <dcterms:created xsi:type="dcterms:W3CDTF">2021-09-08T12:18:00Z</dcterms:created>
  <dcterms:modified xsi:type="dcterms:W3CDTF">2023-10-30T14:28:00Z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EEA353E4B0274100AB67FA04C45C9182</vt:lpwstr>
  </property>
  <property fmtid="{D5CDD505-2E9C-101B-9397-08002B2CF9AE}" pid="3" name="KSOProductBuildVer">
    <vt:lpwstr>1046-12.2.0.13266</vt:lpwstr>
  </property>
</Properties>
</file>