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333/2024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27 de agosto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440DB0" w14:textId="77777777" w:rsidR="00546A6F" w:rsidRDefault="00546A6F" w:rsidP="002A1E6C">
      <w:pPr>
        <w:tabs>
          <w:tab w:val="left" w:pos="4820"/>
        </w:tabs>
        <w:rPr>
          <w:iCs/>
        </w:rPr>
      </w:pPr>
    </w:p>
    <w:p w14:paraId="7F9D9C0B" w14:textId="5A7FCC2F" w:rsidR="00546A6F" w:rsidRPr="00546A6F" w:rsidRDefault="00546A6F" w:rsidP="00546A6F">
      <w:pPr>
        <w:rPr>
          <w:rFonts w:eastAsia="Calibri"/>
          <w:lang w:eastAsia="en-US"/>
        </w:rPr>
      </w:pPr>
      <w:r w:rsidRPr="00546A6F">
        <w:rPr>
          <w:rFonts w:eastAsia="Calibri"/>
          <w:lang w:eastAsia="en-US"/>
        </w:rPr>
        <w:t>À empresa</w:t>
      </w:r>
      <w:r>
        <w:rPr>
          <w:rFonts w:eastAsia="Calibri"/>
          <w:lang w:eastAsia="en-US"/>
        </w:rPr>
        <w:t>,</w:t>
      </w:r>
    </w:p>
    <w:p w14:paraId="034B9618" w14:textId="40CB1E47" w:rsidR="00546A6F" w:rsidRDefault="00546A6F" w:rsidP="00546A6F">
      <w:pPr>
        <w:rPr>
          <w:rFonts w:eastAsia="Calibri"/>
          <w:lang w:eastAsia="en-US"/>
        </w:rPr>
      </w:pPr>
      <w:r w:rsidRPr="00546A6F">
        <w:rPr>
          <w:rFonts w:eastAsia="Calibri"/>
          <w:b/>
          <w:lang w:eastAsia="en-US"/>
        </w:rPr>
        <w:t>Seven Digital Gráfica e Editora</w:t>
      </w:r>
    </w:p>
    <w:p w14:paraId="5C785139" w14:textId="73C90ED9" w:rsidR="00546A6F" w:rsidRPr="00546A6F" w:rsidRDefault="00546A6F" w:rsidP="00546A6F">
      <w:pPr>
        <w:rPr>
          <w:rFonts w:eastAsia="Calibri"/>
          <w:lang w:eastAsia="en-US"/>
        </w:rPr>
      </w:pPr>
      <w:r w:rsidRPr="00546A6F">
        <w:rPr>
          <w:rFonts w:eastAsia="Calibri"/>
          <w:lang w:eastAsia="en-US"/>
        </w:rPr>
        <w:t>Gráfica Agiliza, CNPJ 50.390.402/0001-18,</w:t>
      </w:r>
    </w:p>
    <w:p w14:paraId="0ED0E209" w14:textId="35DA57D1" w:rsidR="00546A6F" w:rsidRPr="00546A6F" w:rsidRDefault="00546A6F" w:rsidP="00546A6F">
      <w:pPr>
        <w:rPr>
          <w:rFonts w:eastAsia="Calibri"/>
          <w:lang w:eastAsia="en-US"/>
        </w:rPr>
      </w:pPr>
      <w:r w:rsidRPr="00546A6F">
        <w:rPr>
          <w:rFonts w:eastAsia="Calibri"/>
          <w:lang w:eastAsia="en-US"/>
        </w:rPr>
        <w:t xml:space="preserve">Empresa vencedora do item </w:t>
      </w:r>
      <w:r>
        <w:rPr>
          <w:rFonts w:eastAsia="Calibri"/>
          <w:lang w:eastAsia="en-US"/>
        </w:rPr>
        <w:t>–</w:t>
      </w:r>
      <w:r w:rsidRPr="00546A6F">
        <w:rPr>
          <w:rFonts w:eastAsia="Calibri"/>
          <w:lang w:eastAsia="en-US"/>
        </w:rPr>
        <w:t xml:space="preserve"> Pregão</w:t>
      </w:r>
      <w:r>
        <w:rPr>
          <w:rFonts w:eastAsia="Calibri"/>
          <w:lang w:eastAsia="en-US"/>
        </w:rPr>
        <w:t xml:space="preserve"> </w:t>
      </w:r>
      <w:r w:rsidRPr="00546A6F">
        <w:rPr>
          <w:rFonts w:eastAsia="Calibri"/>
          <w:lang w:eastAsia="en-US"/>
        </w:rPr>
        <w:t>Presencial 06/2023</w:t>
      </w:r>
    </w:p>
    <w:p w14:paraId="7A746FBD" w14:textId="77777777" w:rsidR="00546A6F" w:rsidRPr="00546A6F" w:rsidRDefault="00546A6F" w:rsidP="00546A6F">
      <w:pPr>
        <w:spacing w:after="160" w:line="256" w:lineRule="auto"/>
        <w:rPr>
          <w:rFonts w:eastAsia="Calibri"/>
          <w:lang w:eastAsia="en-US"/>
        </w:rPr>
      </w:pPr>
    </w:p>
    <w:p w14:paraId="5FEFA004" w14:textId="77777777" w:rsidR="00546A6F" w:rsidRPr="00546A6F" w:rsidRDefault="00546A6F" w:rsidP="00546A6F">
      <w:pPr>
        <w:spacing w:after="160" w:line="256" w:lineRule="auto"/>
        <w:jc w:val="both"/>
        <w:rPr>
          <w:rFonts w:eastAsia="Calibri"/>
          <w:b/>
          <w:lang w:eastAsia="en-US"/>
        </w:rPr>
      </w:pPr>
      <w:r w:rsidRPr="00546A6F">
        <w:rPr>
          <w:rFonts w:eastAsia="Calibri"/>
          <w:b/>
          <w:lang w:eastAsia="en-US"/>
        </w:rPr>
        <w:t xml:space="preserve">Assunto: Solução Administrativa.  Manifestação da empresa. Apontamento de superfaturamento. </w:t>
      </w:r>
    </w:p>
    <w:p w14:paraId="66EF2ED5" w14:textId="77777777" w:rsidR="00546A6F" w:rsidRDefault="00546A6F" w:rsidP="00546A6F">
      <w:pPr>
        <w:spacing w:after="160" w:line="256" w:lineRule="auto"/>
        <w:ind w:firstLine="2268"/>
        <w:jc w:val="both"/>
        <w:rPr>
          <w:rFonts w:eastAsia="Calibri"/>
          <w:lang w:eastAsia="en-US"/>
        </w:rPr>
      </w:pPr>
    </w:p>
    <w:p w14:paraId="0DE38CCC" w14:textId="6888E612" w:rsidR="00546A6F" w:rsidRPr="00546A6F" w:rsidRDefault="00546A6F" w:rsidP="00546A6F">
      <w:pPr>
        <w:spacing w:after="160" w:line="256" w:lineRule="auto"/>
        <w:ind w:firstLine="2268"/>
        <w:jc w:val="both"/>
        <w:rPr>
          <w:rFonts w:eastAsia="Calibri"/>
          <w:lang w:eastAsia="en-US"/>
        </w:rPr>
      </w:pPr>
      <w:r w:rsidRPr="00546A6F">
        <w:rPr>
          <w:rFonts w:eastAsia="Calibri"/>
          <w:lang w:eastAsia="en-US"/>
        </w:rPr>
        <w:t>Prezados,</w:t>
      </w:r>
    </w:p>
    <w:p w14:paraId="6D9D1AFD" w14:textId="77777777" w:rsidR="00546A6F" w:rsidRPr="00546A6F" w:rsidRDefault="00546A6F" w:rsidP="00546A6F">
      <w:pPr>
        <w:spacing w:after="160" w:line="256" w:lineRule="auto"/>
        <w:ind w:firstLine="1418"/>
        <w:jc w:val="both"/>
        <w:rPr>
          <w:rFonts w:eastAsia="Calibri"/>
          <w:lang w:eastAsia="en-US"/>
        </w:rPr>
      </w:pPr>
    </w:p>
    <w:p w14:paraId="3F21548C" w14:textId="77777777" w:rsidR="00546A6F" w:rsidRPr="00546A6F" w:rsidRDefault="00546A6F" w:rsidP="00546A6F">
      <w:pPr>
        <w:spacing w:line="276" w:lineRule="auto"/>
        <w:ind w:firstLine="2268"/>
        <w:jc w:val="both"/>
        <w:rPr>
          <w:rFonts w:eastAsia="Calibri"/>
          <w:lang w:eastAsia="en-US"/>
        </w:rPr>
      </w:pPr>
      <w:r w:rsidRPr="00546A6F">
        <w:rPr>
          <w:rFonts w:eastAsia="Calibri"/>
          <w:lang w:eastAsia="en-US"/>
        </w:rPr>
        <w:t xml:space="preserve">A Comissão Especial de Investigação responsável pela Sindicância Investigativa nº 01/2024, a qual investigou a eventual ocorrência de irregularidades na condução do Pregão 06/2023, concluiu por apontar pela ocorrência </w:t>
      </w:r>
      <w:r w:rsidRPr="00546A6F">
        <w:rPr>
          <w:rFonts w:eastAsia="Calibri"/>
          <w:b/>
          <w:lang w:eastAsia="en-US"/>
        </w:rPr>
        <w:t xml:space="preserve">da irregularidade qualificada como sobrepreço no item “MÉRITO CULTURAL PAPEL A3 COM ARTE E MOLDURA EM ALUMÍNIO ESCOVADO COM DOIS VIDROS TIPO SANDUÍCHE”: </w:t>
      </w:r>
    </w:p>
    <w:p w14:paraId="50E8416D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t>À vista dos parâmetros anteriormente expostos, esta Comissão sugere/indica - salvo melhor juízo - que há indícios suficientes para caracterizar a ocorrência da irregularidade qualificada como sobrepreço no item “MÉRITO CULTURAL PAPEL A3 COM ARTE E MOLDURA EM ALUMÍNIO ESCOVADO COM DOIS VIDROS TIPO SANDUÍCHE”, o qual teve as seguintes participações:</w:t>
      </w:r>
    </w:p>
    <w:p w14:paraId="7922DF9D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t>- Forneceu Orçamento para o Item na etapa de Formação do Preço:</w:t>
      </w:r>
    </w:p>
    <w:p w14:paraId="49E99540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Editora Gráfica Dados LTDA-ME, CNPJ nº 10.782.231/0001-58;</w:t>
      </w:r>
    </w:p>
    <w:p w14:paraId="210FA4F9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Brusco e Brusco LTDA-ME, CNPJ nº 07.539.713/0001-77;</w:t>
      </w:r>
    </w:p>
    <w:p w14:paraId="7038AD6F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Agro Print Gráfica eComun. Visual LTDA, CNPJ nº 34.927.458/0001-02;</w:t>
      </w:r>
    </w:p>
    <w:p w14:paraId="49627861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t>- Apresentou Proposta para o Item na Sessão Pública:</w:t>
      </w:r>
    </w:p>
    <w:p w14:paraId="61B10138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Editora Gráfica Dados LTDA-ME, CNPJ nº 10.782.231/0001-58;</w:t>
      </w:r>
    </w:p>
    <w:p w14:paraId="5E88B555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Brusco e Brusco LTDA-ME, CNPJ nº 07.539.713/0001-77;</w:t>
      </w:r>
    </w:p>
    <w:p w14:paraId="3DA15E9D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Agro Print Gráfica eComun. Visual LTDA, CNPJ nº 34.927.458/0001-02;</w:t>
      </w:r>
    </w:p>
    <w:p w14:paraId="72B7739D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Amanda Dutra Rodrigues, CNPJ nº 34.432.771/0001-70;</w:t>
      </w:r>
    </w:p>
    <w:p w14:paraId="02DB524A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Seven Digital Gráfica e Editora LTDA, CNPJ nº 50.390.402/0001-18;</w:t>
      </w:r>
    </w:p>
    <w:p w14:paraId="32F084ED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Comércio e Representações Vardasca Ltda, CNPJ nº 44.120.619/0001-05;</w:t>
      </w:r>
    </w:p>
    <w:p w14:paraId="502839BD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Lucas de Miranda Martins ME, CNPJ nº 48.852.913/0001-62;</w:t>
      </w:r>
    </w:p>
    <w:p w14:paraId="323BD6A3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Imprima Indústria Gráfica e Editora LTDA, CNPJ 10.600.949/0001-86;</w:t>
      </w:r>
    </w:p>
    <w:p w14:paraId="3CA5EFED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sz w:val="20"/>
          <w:lang w:eastAsia="en-US"/>
        </w:rPr>
        <w:sym w:font="Times New Roman" w:char="F0A7"/>
      </w:r>
      <w:r w:rsidRPr="00546A6F">
        <w:rPr>
          <w:rFonts w:eastAsia="Calibri"/>
          <w:sz w:val="20"/>
          <w:lang w:eastAsia="en-US"/>
        </w:rPr>
        <w:t xml:space="preserve"> 4 D Designer Gráfica Editora e Comunicação Visual Eireli, CNPJ nº 13.278.238/0001-25;</w:t>
      </w:r>
    </w:p>
    <w:p w14:paraId="44F2203A" w14:textId="77777777" w:rsidR="00546A6F" w:rsidRPr="00546A6F" w:rsidRDefault="00546A6F" w:rsidP="00546A6F">
      <w:pPr>
        <w:ind w:left="2268"/>
        <w:jc w:val="both"/>
        <w:rPr>
          <w:rFonts w:eastAsia="Calibri"/>
          <w:b/>
          <w:sz w:val="20"/>
          <w:lang w:eastAsia="en-US"/>
        </w:rPr>
      </w:pPr>
      <w:r w:rsidRPr="00546A6F">
        <w:rPr>
          <w:rFonts w:eastAsia="Calibri"/>
          <w:b/>
          <w:sz w:val="20"/>
          <w:lang w:eastAsia="en-US"/>
        </w:rPr>
        <w:t>o Empresa Vencedora do Item:</w:t>
      </w:r>
    </w:p>
    <w:p w14:paraId="17CB35B4" w14:textId="77777777" w:rsidR="00546A6F" w:rsidRPr="00546A6F" w:rsidRDefault="00546A6F" w:rsidP="00546A6F">
      <w:pPr>
        <w:ind w:left="2268"/>
        <w:jc w:val="both"/>
        <w:rPr>
          <w:rFonts w:eastAsia="Calibri"/>
          <w:sz w:val="20"/>
          <w:lang w:eastAsia="en-US"/>
        </w:rPr>
      </w:pPr>
      <w:r w:rsidRPr="00546A6F">
        <w:rPr>
          <w:rFonts w:eastAsia="Calibri"/>
          <w:b/>
          <w:sz w:val="20"/>
          <w:lang w:eastAsia="en-US"/>
        </w:rPr>
        <w:sym w:font="Times New Roman" w:char="F0A7"/>
      </w:r>
      <w:r w:rsidRPr="00546A6F">
        <w:rPr>
          <w:rFonts w:eastAsia="Calibri"/>
          <w:b/>
          <w:sz w:val="20"/>
          <w:lang w:eastAsia="en-US"/>
        </w:rPr>
        <w:t xml:space="preserve"> Seven Digital Gráfica e Editora LTDA, CNPJ nº 50.390.402/0001-18</w:t>
      </w:r>
      <w:r w:rsidRPr="00546A6F">
        <w:rPr>
          <w:rFonts w:eastAsia="Calibri"/>
          <w:sz w:val="20"/>
          <w:lang w:eastAsia="en-US"/>
        </w:rPr>
        <w:t xml:space="preserve">; (Parte da </w:t>
      </w:r>
      <w:r w:rsidRPr="00546A6F">
        <w:rPr>
          <w:rFonts w:eastAsia="Calibri"/>
          <w:sz w:val="20"/>
          <w:szCs w:val="20"/>
          <w:lang w:eastAsia="en-US"/>
        </w:rPr>
        <w:t>Conclusão - Sindicância Investigativa nº 01/2024)</w:t>
      </w:r>
    </w:p>
    <w:p w14:paraId="69D7EBB1" w14:textId="77777777" w:rsidR="00546A6F" w:rsidRPr="00546A6F" w:rsidRDefault="00546A6F" w:rsidP="00546A6F">
      <w:pPr>
        <w:spacing w:after="160" w:line="256" w:lineRule="auto"/>
        <w:jc w:val="both"/>
        <w:rPr>
          <w:rFonts w:eastAsia="Calibri"/>
          <w:lang w:eastAsia="en-US"/>
        </w:rPr>
      </w:pPr>
    </w:p>
    <w:p w14:paraId="1B79D313" w14:textId="77777777" w:rsidR="00546A6F" w:rsidRPr="00546A6F" w:rsidRDefault="00546A6F" w:rsidP="00546A6F">
      <w:pPr>
        <w:spacing w:after="160" w:line="276" w:lineRule="auto"/>
        <w:ind w:firstLine="2268"/>
        <w:jc w:val="both"/>
        <w:rPr>
          <w:rFonts w:eastAsia="Calibri"/>
          <w:b/>
          <w:lang w:eastAsia="en-US"/>
        </w:rPr>
      </w:pPr>
      <w:r w:rsidRPr="00546A6F">
        <w:rPr>
          <w:rFonts w:eastAsia="Calibri"/>
          <w:lang w:eastAsia="en-US"/>
        </w:rPr>
        <w:t>Pelo apontamento acima, tem-se que a empresa Seven Digital Gráfica e Editora não participou da formação de preços inicial, mas ofertou e foi contratada por, segundo a comissão, valor superior ao de mercado.</w:t>
      </w:r>
      <w:r w:rsidRPr="00546A6F">
        <w:rPr>
          <w:rFonts w:eastAsia="Calibri"/>
          <w:b/>
          <w:lang w:eastAsia="en-US"/>
        </w:rPr>
        <w:t xml:space="preserve"> </w:t>
      </w:r>
    </w:p>
    <w:p w14:paraId="2BA3375A" w14:textId="77777777" w:rsidR="00546A6F" w:rsidRPr="00546A6F" w:rsidRDefault="00546A6F" w:rsidP="00546A6F">
      <w:pPr>
        <w:spacing w:after="160" w:line="276" w:lineRule="auto"/>
        <w:ind w:firstLine="2268"/>
        <w:jc w:val="both"/>
        <w:rPr>
          <w:rFonts w:eastAsia="Calibri"/>
          <w:b/>
          <w:lang w:eastAsia="en-US"/>
        </w:rPr>
      </w:pPr>
      <w:r w:rsidRPr="00546A6F">
        <w:rPr>
          <w:rFonts w:eastAsia="Calibri"/>
          <w:lang w:eastAsia="en-US"/>
        </w:rPr>
        <w:t>Segundo os órgãos de controle externo quando da ocorrência de recebimento de valores acima do mercado n</w:t>
      </w:r>
      <w:r w:rsidRPr="00546A6F">
        <w:rPr>
          <w:rFonts w:eastAsia="Calibri"/>
          <w:spacing w:val="2"/>
          <w:lang w:eastAsia="en-US"/>
        </w:rPr>
        <w:t>ão é necessário que fique demonstrada a sua participação na elaboração do edital ou do orçamento-base da licitação, pois a obrigação de seguir os preços do mercado (art. 43, IV, da Lei 8.666/1993) se aplica tanto à Administração Pública quanto aos colaboradores privados</w:t>
      </w:r>
      <w:r w:rsidRPr="00546A6F">
        <w:rPr>
          <w:rFonts w:eastAsia="Calibri"/>
          <w:b/>
          <w:lang w:eastAsia="en-US"/>
        </w:rPr>
        <w:t xml:space="preserve">: </w:t>
      </w:r>
    </w:p>
    <w:p w14:paraId="2F8F3B0F" w14:textId="77777777" w:rsidR="00546A6F" w:rsidRPr="00546A6F" w:rsidRDefault="00546A6F" w:rsidP="00546A6F">
      <w:pPr>
        <w:shd w:val="clear" w:color="auto" w:fill="FFFFFF"/>
        <w:ind w:left="2268"/>
        <w:jc w:val="both"/>
        <w:rPr>
          <w:spacing w:val="2"/>
          <w:sz w:val="20"/>
        </w:rPr>
      </w:pPr>
      <w:r w:rsidRPr="00546A6F">
        <w:rPr>
          <w:spacing w:val="2"/>
          <w:sz w:val="20"/>
        </w:rPr>
        <w:t>26</w:t>
      </w:r>
      <w:r w:rsidRPr="00546A6F">
        <w:rPr>
          <w:b/>
          <w:spacing w:val="2"/>
          <w:sz w:val="20"/>
          <w:highlight w:val="yellow"/>
        </w:rPr>
        <w:t>. Em relação à empresa, sua responsabilidade solidária pelo débito advém do recebimento irregular de valores acima do mercado.</w:t>
      </w:r>
      <w:r w:rsidRPr="00546A6F">
        <w:rPr>
          <w:b/>
          <w:spacing w:val="2"/>
          <w:sz w:val="20"/>
        </w:rPr>
        <w:t xml:space="preserve"> </w:t>
      </w:r>
      <w:r w:rsidRPr="00546A6F">
        <w:rPr>
          <w:spacing w:val="2"/>
          <w:sz w:val="20"/>
        </w:rPr>
        <w:t>Não é necessário que fique demonstrada a sua participação na elaboração do edital ou do orçamento-base da licitação, pois a obrigação de seguir os preços do mercado (art. 43, IV, da Lei 8.666/1993) se aplica tanto à Administração Pública quanto aos colaboradores privados, já que ambos são destinatários do regime jurídico-administrativo relativo às contratações públicas (</w:t>
      </w:r>
      <w:hyperlink r:id="rId8" w:tgtFrame="_blank" w:history="1">
        <w:r w:rsidRPr="00546A6F">
          <w:rPr>
            <w:spacing w:val="2"/>
            <w:sz w:val="20"/>
            <w:u w:val="single"/>
          </w:rPr>
          <w:t>Acórdão 1392/2016-TCU-Plenário</w:t>
        </w:r>
      </w:hyperlink>
      <w:r w:rsidRPr="00546A6F">
        <w:rPr>
          <w:spacing w:val="2"/>
          <w:sz w:val="20"/>
        </w:rPr>
        <w:t xml:space="preserve">) </w:t>
      </w:r>
    </w:p>
    <w:p w14:paraId="24D96D3E" w14:textId="77777777" w:rsidR="00546A6F" w:rsidRPr="00546A6F" w:rsidRDefault="00546A6F" w:rsidP="00546A6F">
      <w:pPr>
        <w:spacing w:after="160" w:line="256" w:lineRule="auto"/>
        <w:ind w:firstLine="2268"/>
        <w:jc w:val="both"/>
        <w:rPr>
          <w:rFonts w:eastAsia="Calibri"/>
          <w:lang w:eastAsia="en-US"/>
        </w:rPr>
      </w:pPr>
    </w:p>
    <w:p w14:paraId="44409F3E" w14:textId="77777777" w:rsidR="00546A6F" w:rsidRPr="00546A6F" w:rsidRDefault="00546A6F" w:rsidP="00546A6F">
      <w:pPr>
        <w:spacing w:after="160" w:line="256" w:lineRule="auto"/>
        <w:ind w:firstLine="2268"/>
        <w:jc w:val="both"/>
        <w:rPr>
          <w:rFonts w:eastAsia="Calibri"/>
          <w:spacing w:val="2"/>
          <w:shd w:val="clear" w:color="auto" w:fill="FFFFFF"/>
          <w:lang w:eastAsia="en-US"/>
        </w:rPr>
      </w:pPr>
      <w:r w:rsidRPr="00546A6F">
        <w:rPr>
          <w:rFonts w:eastAsia="Calibri"/>
          <w:lang w:eastAsia="en-US"/>
        </w:rPr>
        <w:t xml:space="preserve">Assim, para os órgãos de controle externo o </w:t>
      </w:r>
      <w:r w:rsidRPr="00546A6F">
        <w:rPr>
          <w:rFonts w:eastAsia="Calibri"/>
          <w:spacing w:val="2"/>
          <w:shd w:val="clear" w:color="auto" w:fill="FFFFFF"/>
          <w:lang w:eastAsia="en-US"/>
        </w:rPr>
        <w:t>fato da empresa não participar da elaboração do edital e do orçamento base da licitação não a isenta de responsabilidade solidária pelo dano (art. 16, § 2º, da Lei 8.443/1992) na hipótese de recebimento de pagamentos por serviços superfaturados, pois à licitante cabe ofertar preços compatíveis com os praticados pelo mercado (art. 43, inciso IV, da Lei 8.666/1993), independentemente de eventual erro cometido pela Administração quando da elaboração do edital e do orçamento.</w:t>
      </w:r>
    </w:p>
    <w:p w14:paraId="7E29DE71" w14:textId="77777777" w:rsidR="00546A6F" w:rsidRPr="00546A6F" w:rsidRDefault="00546A6F" w:rsidP="00546A6F">
      <w:pPr>
        <w:spacing w:after="160" w:line="256" w:lineRule="auto"/>
        <w:ind w:firstLine="2268"/>
        <w:jc w:val="both"/>
        <w:rPr>
          <w:rFonts w:eastAsia="Calibri"/>
          <w:spacing w:val="2"/>
          <w:shd w:val="clear" w:color="auto" w:fill="FFFFFF"/>
          <w:lang w:eastAsia="en-US"/>
        </w:rPr>
      </w:pPr>
      <w:r w:rsidRPr="00546A6F">
        <w:rPr>
          <w:rFonts w:eastAsia="Calibri"/>
          <w:spacing w:val="2"/>
          <w:shd w:val="clear" w:color="auto" w:fill="FFFFFF"/>
          <w:lang w:eastAsia="en-US"/>
        </w:rPr>
        <w:t xml:space="preserve">Para fins de parâmetros tem-se por necessário o registro da diferença entre sobrepreço e superfaturamento, para tanto utiliza-se conceitos como os da </w:t>
      </w:r>
      <w:r w:rsidRPr="00546A6F">
        <w:rPr>
          <w:rFonts w:eastAsia="Calibri"/>
          <w:shd w:val="clear" w:color="auto" w:fill="FFFFFF"/>
          <w:lang w:eastAsia="en-US"/>
        </w:rPr>
        <w:t>Lei nº 14.133/21</w:t>
      </w:r>
      <w:r w:rsidRPr="00546A6F">
        <w:rPr>
          <w:rFonts w:eastAsia="Calibri"/>
          <w:spacing w:val="2"/>
          <w:shd w:val="clear" w:color="auto" w:fill="FFFFFF"/>
          <w:lang w:eastAsia="en-US"/>
        </w:rPr>
        <w:t>.</w:t>
      </w:r>
    </w:p>
    <w:p w14:paraId="27479BD9" w14:textId="77777777" w:rsidR="00546A6F" w:rsidRPr="00546A6F" w:rsidRDefault="00546A6F" w:rsidP="00546A6F">
      <w:pPr>
        <w:spacing w:after="160" w:line="256" w:lineRule="auto"/>
        <w:ind w:firstLine="2268"/>
        <w:jc w:val="both"/>
        <w:rPr>
          <w:rFonts w:eastAsia="Calibri"/>
          <w:lang w:eastAsia="en-US"/>
        </w:rPr>
      </w:pPr>
      <w:r w:rsidRPr="00546A6F">
        <w:rPr>
          <w:rFonts w:eastAsia="Calibri"/>
          <w:shd w:val="clear" w:color="auto" w:fill="FFFFFF"/>
          <w:lang w:eastAsia="en-US"/>
        </w:rPr>
        <w:t>Na lei, o sobrepreço foi definido como a contratação de preços acima dos preços referenciais de mercado, podendo ser evidenciado em apenas um item de preço ou no valor global do objeto, a depender do regime de execução adotado. </w:t>
      </w:r>
    </w:p>
    <w:p w14:paraId="0132A4FC" w14:textId="77777777" w:rsidR="00546A6F" w:rsidRPr="00546A6F" w:rsidRDefault="00546A6F" w:rsidP="00546A6F">
      <w:pPr>
        <w:spacing w:after="160" w:line="256" w:lineRule="auto"/>
        <w:ind w:firstLine="2268"/>
        <w:jc w:val="both"/>
        <w:rPr>
          <w:rFonts w:eastAsia="Calibri"/>
          <w:lang w:eastAsia="en-US"/>
        </w:rPr>
      </w:pPr>
      <w:r w:rsidRPr="00546A6F">
        <w:rPr>
          <w:rFonts w:eastAsia="Calibri"/>
          <w:shd w:val="clear" w:color="auto" w:fill="FFFFFF"/>
          <w:lang w:eastAsia="en-US"/>
        </w:rPr>
        <w:t>O superfaturamento, por sua vez, é caracterizado como o dano provocado ao patrimônio da Administração, exemplificado na lei por: medição de quantidades de serviços superior às efetivamente executadas; alterações no orçamento que causem desequilíbrio econômico-financeiro em desfavor da Administração; reajustes irregulares; distorções no cronograma; deficiência na execução que importe em diminuição da qualidade e, é claro, pagamento de serviços com sobrepreço.</w:t>
      </w:r>
    </w:p>
    <w:p w14:paraId="0EF00029" w14:textId="77777777" w:rsidR="00546A6F" w:rsidRPr="00546A6F" w:rsidRDefault="00546A6F" w:rsidP="00546A6F">
      <w:pPr>
        <w:spacing w:after="160" w:line="256" w:lineRule="auto"/>
        <w:ind w:firstLine="2268"/>
        <w:jc w:val="both"/>
        <w:rPr>
          <w:rFonts w:eastAsia="Calibri"/>
          <w:lang w:eastAsia="en-US"/>
        </w:rPr>
      </w:pPr>
      <w:r w:rsidRPr="00546A6F">
        <w:rPr>
          <w:rFonts w:eastAsia="Calibri"/>
          <w:shd w:val="clear" w:color="auto" w:fill="FFFFFF"/>
          <w:lang w:eastAsia="en-US"/>
        </w:rPr>
        <w:t>Assim, o sobrepreço é um dano potencial à eficiência e à economicidade da contratação, enquanto o superfaturamento é o dano consumado, que pode ou não ter origem no sobrepreço.</w:t>
      </w:r>
    </w:p>
    <w:p w14:paraId="2842E99B" w14:textId="77777777" w:rsidR="00546A6F" w:rsidRPr="00546A6F" w:rsidRDefault="00546A6F" w:rsidP="00546A6F">
      <w:pPr>
        <w:spacing w:after="160" w:line="256" w:lineRule="auto"/>
        <w:ind w:firstLine="2268"/>
        <w:jc w:val="both"/>
        <w:rPr>
          <w:rFonts w:eastAsia="Calibri"/>
          <w:lang w:eastAsia="en-US"/>
        </w:rPr>
      </w:pPr>
      <w:r w:rsidRPr="00546A6F">
        <w:rPr>
          <w:rFonts w:eastAsia="Calibri"/>
          <w:spacing w:val="2"/>
          <w:shd w:val="clear" w:color="auto" w:fill="FFFFFF"/>
          <w:lang w:eastAsia="en-US"/>
        </w:rPr>
        <w:lastRenderedPageBreak/>
        <w:t>Partindo destas premissas e considerando que a comissão apontou pelo</w:t>
      </w:r>
      <w:r w:rsidRPr="00546A6F">
        <w:rPr>
          <w:rFonts w:eastAsia="Calibri"/>
          <w:b/>
          <w:spacing w:val="2"/>
          <w:shd w:val="clear" w:color="auto" w:fill="FFFFFF"/>
          <w:lang w:eastAsia="en-US"/>
        </w:rPr>
        <w:t xml:space="preserve"> </w:t>
      </w:r>
      <w:r w:rsidRPr="00546A6F">
        <w:rPr>
          <w:rFonts w:eastAsia="Calibri"/>
          <w:lang w:eastAsia="en-US"/>
        </w:rPr>
        <w:t xml:space="preserve">sobrepreço na aquisição de 10 unidades do item 19 do Pregão Presencial n°6/2023, sendo pagos R$ 12.640,00 para a empresa. O que em tese consuma o dano, configurando o superfaturamento, faz-se necessário pois a </w:t>
      </w:r>
      <w:r w:rsidRPr="00546A6F">
        <w:rPr>
          <w:rFonts w:eastAsia="Calibri"/>
          <w:b/>
          <w:i/>
          <w:lang w:eastAsia="en-US"/>
        </w:rPr>
        <w:t>Intimação da empresa Seven Digital Gráfica e Editora para fins de solução administrativa do caso</w:t>
      </w:r>
      <w:r w:rsidRPr="00546A6F">
        <w:rPr>
          <w:rFonts w:eastAsia="Calibri"/>
          <w:lang w:eastAsia="en-US"/>
        </w:rPr>
        <w:t>.</w:t>
      </w:r>
    </w:p>
    <w:p w14:paraId="2A08B3F1" w14:textId="77777777" w:rsidR="00546A6F" w:rsidRPr="00546A6F" w:rsidRDefault="00546A6F" w:rsidP="00546A6F">
      <w:pPr>
        <w:spacing w:after="160" w:line="256" w:lineRule="auto"/>
        <w:ind w:firstLine="2268"/>
        <w:jc w:val="both"/>
        <w:rPr>
          <w:rFonts w:eastAsia="Calibri"/>
          <w:lang w:eastAsia="en-US"/>
        </w:rPr>
      </w:pPr>
      <w:r w:rsidRPr="00546A6F">
        <w:rPr>
          <w:rFonts w:eastAsia="Calibri"/>
          <w:spacing w:val="2"/>
          <w:shd w:val="clear" w:color="auto" w:fill="FFFFFF"/>
          <w:lang w:eastAsia="en-US"/>
        </w:rPr>
        <w:t xml:space="preserve">Sendo assim, solicita-se manifestação da empresa quanto ao achado na </w:t>
      </w:r>
      <w:r w:rsidRPr="00546A6F">
        <w:rPr>
          <w:rFonts w:eastAsia="Calibri"/>
          <w:lang w:eastAsia="en-US"/>
        </w:rPr>
        <w:t xml:space="preserve">Sindicância Investigativa nº 01/2024 </w:t>
      </w:r>
      <w:r w:rsidRPr="00546A6F">
        <w:rPr>
          <w:rFonts w:eastAsia="Calibri"/>
          <w:spacing w:val="2"/>
          <w:shd w:val="clear" w:color="auto" w:fill="FFFFFF"/>
          <w:lang w:eastAsia="en-US"/>
        </w:rPr>
        <w:t xml:space="preserve">no prazo de 15 dias (úteis), bem como de ressarcimento ao erário no valor de </w:t>
      </w:r>
      <w:r w:rsidRPr="00546A6F">
        <w:rPr>
          <w:rFonts w:eastAsia="Calibri"/>
          <w:lang w:eastAsia="en-US"/>
        </w:rPr>
        <w:t xml:space="preserve">R$ 12.640,00. </w:t>
      </w:r>
    </w:p>
    <w:p w14:paraId="2AEBF177" w14:textId="77777777" w:rsidR="00546A6F" w:rsidRPr="00546A6F" w:rsidRDefault="00546A6F" w:rsidP="00546A6F">
      <w:pPr>
        <w:tabs>
          <w:tab w:val="left" w:pos="4820"/>
        </w:tabs>
        <w:spacing w:after="160" w:line="256" w:lineRule="auto"/>
        <w:ind w:firstLine="2268"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546A6F">
        <w:rPr>
          <w:rFonts w:eastAsia="Calibri"/>
          <w:bCs/>
          <w:iCs/>
          <w:sz w:val="26"/>
          <w:szCs w:val="26"/>
          <w:lang w:eastAsia="en-US"/>
        </w:rPr>
        <w:t>Certos de vossa atenção, desde já agradeço.</w:t>
      </w:r>
    </w:p>
    <w:p w14:paraId="389B3A4F" w14:textId="77777777" w:rsidR="00546A6F" w:rsidRPr="00546A6F" w:rsidRDefault="00546A6F" w:rsidP="00546A6F">
      <w:pPr>
        <w:tabs>
          <w:tab w:val="left" w:pos="4820"/>
        </w:tabs>
        <w:spacing w:after="160" w:line="256" w:lineRule="auto"/>
        <w:ind w:firstLine="2268"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546A6F">
        <w:rPr>
          <w:rFonts w:eastAsia="Calibri"/>
          <w:iCs/>
          <w:sz w:val="26"/>
          <w:szCs w:val="26"/>
          <w:lang w:eastAsia="en-US"/>
        </w:rPr>
        <w:t>Atenciosamente,</w:t>
      </w:r>
    </w:p>
    <w:p w14:paraId="3618C340" w14:textId="77777777" w:rsidR="00546A6F" w:rsidRPr="00546A6F" w:rsidRDefault="00546A6F" w:rsidP="00546A6F">
      <w:pPr>
        <w:tabs>
          <w:tab w:val="left" w:pos="4820"/>
        </w:tabs>
        <w:spacing w:after="160" w:line="256" w:lineRule="auto"/>
        <w:jc w:val="both"/>
        <w:rPr>
          <w:rFonts w:eastAsia="Calibri"/>
          <w:iCs/>
          <w:sz w:val="26"/>
          <w:szCs w:val="26"/>
          <w:lang w:eastAsia="en-US"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CCB59" w14:textId="77777777" w:rsidR="00F673EE" w:rsidRDefault="00F673EE">
      <w:r>
        <w:separator/>
      </w:r>
    </w:p>
  </w:endnote>
  <w:endnote w:type="continuationSeparator" w:id="0">
    <w:p w14:paraId="68046924" w14:textId="77777777" w:rsidR="00F673EE" w:rsidRDefault="00F6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1DA0F" w14:textId="77777777" w:rsidR="00F673EE" w:rsidRDefault="00F673EE">
      <w:r>
        <w:separator/>
      </w:r>
    </w:p>
  </w:footnote>
  <w:footnote w:type="continuationSeparator" w:id="0">
    <w:p w14:paraId="6437A2E6" w14:textId="77777777" w:rsidR="00F673EE" w:rsidRDefault="00F6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32A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62529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4B2F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42CB9C" w:tentative="1">
      <w:start w:val="1"/>
      <w:numFmt w:val="lowerLetter"/>
      <w:lvlText w:val="%2."/>
      <w:lvlJc w:val="left"/>
      <w:pPr>
        <w:ind w:left="1440" w:hanging="360"/>
      </w:pPr>
    </w:lvl>
    <w:lvl w:ilvl="2" w:tplc="C4A6C778" w:tentative="1">
      <w:start w:val="1"/>
      <w:numFmt w:val="lowerRoman"/>
      <w:lvlText w:val="%3."/>
      <w:lvlJc w:val="right"/>
      <w:pPr>
        <w:ind w:left="2160" w:hanging="180"/>
      </w:pPr>
    </w:lvl>
    <w:lvl w:ilvl="3" w:tplc="F75AD6F0" w:tentative="1">
      <w:start w:val="1"/>
      <w:numFmt w:val="decimal"/>
      <w:lvlText w:val="%4."/>
      <w:lvlJc w:val="left"/>
      <w:pPr>
        <w:ind w:left="2880" w:hanging="360"/>
      </w:pPr>
    </w:lvl>
    <w:lvl w:ilvl="4" w:tplc="37B699AA" w:tentative="1">
      <w:start w:val="1"/>
      <w:numFmt w:val="lowerLetter"/>
      <w:lvlText w:val="%5."/>
      <w:lvlJc w:val="left"/>
      <w:pPr>
        <w:ind w:left="3600" w:hanging="360"/>
      </w:pPr>
    </w:lvl>
    <w:lvl w:ilvl="5" w:tplc="76E21E40" w:tentative="1">
      <w:start w:val="1"/>
      <w:numFmt w:val="lowerRoman"/>
      <w:lvlText w:val="%6."/>
      <w:lvlJc w:val="right"/>
      <w:pPr>
        <w:ind w:left="4320" w:hanging="180"/>
      </w:pPr>
    </w:lvl>
    <w:lvl w:ilvl="6" w:tplc="E8F8F486" w:tentative="1">
      <w:start w:val="1"/>
      <w:numFmt w:val="decimal"/>
      <w:lvlText w:val="%7."/>
      <w:lvlJc w:val="left"/>
      <w:pPr>
        <w:ind w:left="5040" w:hanging="360"/>
      </w:pPr>
    </w:lvl>
    <w:lvl w:ilvl="7" w:tplc="762CFFF2" w:tentative="1">
      <w:start w:val="1"/>
      <w:numFmt w:val="lowerLetter"/>
      <w:lvlText w:val="%8."/>
      <w:lvlJc w:val="left"/>
      <w:pPr>
        <w:ind w:left="5760" w:hanging="360"/>
      </w:pPr>
    </w:lvl>
    <w:lvl w:ilvl="8" w:tplc="7B340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F020E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DD449B2" w:tentative="1">
      <w:start w:val="1"/>
      <w:numFmt w:val="lowerLetter"/>
      <w:lvlText w:val="%2."/>
      <w:lvlJc w:val="left"/>
      <w:pPr>
        <w:ind w:left="1440" w:hanging="360"/>
      </w:pPr>
    </w:lvl>
    <w:lvl w:ilvl="2" w:tplc="B2DC545E" w:tentative="1">
      <w:start w:val="1"/>
      <w:numFmt w:val="lowerRoman"/>
      <w:lvlText w:val="%3."/>
      <w:lvlJc w:val="right"/>
      <w:pPr>
        <w:ind w:left="2160" w:hanging="180"/>
      </w:pPr>
    </w:lvl>
    <w:lvl w:ilvl="3" w:tplc="F0BE73FC" w:tentative="1">
      <w:start w:val="1"/>
      <w:numFmt w:val="decimal"/>
      <w:lvlText w:val="%4."/>
      <w:lvlJc w:val="left"/>
      <w:pPr>
        <w:ind w:left="2880" w:hanging="360"/>
      </w:pPr>
    </w:lvl>
    <w:lvl w:ilvl="4" w:tplc="E50EEDD6" w:tentative="1">
      <w:start w:val="1"/>
      <w:numFmt w:val="lowerLetter"/>
      <w:lvlText w:val="%5."/>
      <w:lvlJc w:val="left"/>
      <w:pPr>
        <w:ind w:left="3600" w:hanging="360"/>
      </w:pPr>
    </w:lvl>
    <w:lvl w:ilvl="5" w:tplc="C15A1A68" w:tentative="1">
      <w:start w:val="1"/>
      <w:numFmt w:val="lowerRoman"/>
      <w:lvlText w:val="%6."/>
      <w:lvlJc w:val="right"/>
      <w:pPr>
        <w:ind w:left="4320" w:hanging="180"/>
      </w:pPr>
    </w:lvl>
    <w:lvl w:ilvl="6" w:tplc="74B48362" w:tentative="1">
      <w:start w:val="1"/>
      <w:numFmt w:val="decimal"/>
      <w:lvlText w:val="%7."/>
      <w:lvlJc w:val="left"/>
      <w:pPr>
        <w:ind w:left="5040" w:hanging="360"/>
      </w:pPr>
    </w:lvl>
    <w:lvl w:ilvl="7" w:tplc="E45E7ABC" w:tentative="1">
      <w:start w:val="1"/>
      <w:numFmt w:val="lowerLetter"/>
      <w:lvlText w:val="%8."/>
      <w:lvlJc w:val="left"/>
      <w:pPr>
        <w:ind w:left="5760" w:hanging="360"/>
      </w:pPr>
    </w:lvl>
    <w:lvl w:ilvl="8" w:tplc="1206F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E788B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405478" w:tentative="1">
      <w:start w:val="1"/>
      <w:numFmt w:val="lowerLetter"/>
      <w:lvlText w:val="%2."/>
      <w:lvlJc w:val="left"/>
      <w:pPr>
        <w:ind w:left="1440" w:hanging="360"/>
      </w:pPr>
    </w:lvl>
    <w:lvl w:ilvl="2" w:tplc="D4F8C660" w:tentative="1">
      <w:start w:val="1"/>
      <w:numFmt w:val="lowerRoman"/>
      <w:lvlText w:val="%3."/>
      <w:lvlJc w:val="right"/>
      <w:pPr>
        <w:ind w:left="2160" w:hanging="180"/>
      </w:pPr>
    </w:lvl>
    <w:lvl w:ilvl="3" w:tplc="03401CAA" w:tentative="1">
      <w:start w:val="1"/>
      <w:numFmt w:val="decimal"/>
      <w:lvlText w:val="%4."/>
      <w:lvlJc w:val="left"/>
      <w:pPr>
        <w:ind w:left="2880" w:hanging="360"/>
      </w:pPr>
    </w:lvl>
    <w:lvl w:ilvl="4" w:tplc="2D72F550" w:tentative="1">
      <w:start w:val="1"/>
      <w:numFmt w:val="lowerLetter"/>
      <w:lvlText w:val="%5."/>
      <w:lvlJc w:val="left"/>
      <w:pPr>
        <w:ind w:left="3600" w:hanging="360"/>
      </w:pPr>
    </w:lvl>
    <w:lvl w:ilvl="5" w:tplc="8C169418" w:tentative="1">
      <w:start w:val="1"/>
      <w:numFmt w:val="lowerRoman"/>
      <w:lvlText w:val="%6."/>
      <w:lvlJc w:val="right"/>
      <w:pPr>
        <w:ind w:left="4320" w:hanging="180"/>
      </w:pPr>
    </w:lvl>
    <w:lvl w:ilvl="6" w:tplc="CB2854BE" w:tentative="1">
      <w:start w:val="1"/>
      <w:numFmt w:val="decimal"/>
      <w:lvlText w:val="%7."/>
      <w:lvlJc w:val="left"/>
      <w:pPr>
        <w:ind w:left="5040" w:hanging="360"/>
      </w:pPr>
    </w:lvl>
    <w:lvl w:ilvl="7" w:tplc="784099FA" w:tentative="1">
      <w:start w:val="1"/>
      <w:numFmt w:val="lowerLetter"/>
      <w:lvlText w:val="%8."/>
      <w:lvlJc w:val="left"/>
      <w:pPr>
        <w:ind w:left="5760" w:hanging="360"/>
      </w:pPr>
    </w:lvl>
    <w:lvl w:ilvl="8" w:tplc="9DC87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06E2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A4DFF4" w:tentative="1">
      <w:start w:val="1"/>
      <w:numFmt w:val="lowerLetter"/>
      <w:lvlText w:val="%2."/>
      <w:lvlJc w:val="left"/>
      <w:pPr>
        <w:ind w:left="1440" w:hanging="360"/>
      </w:pPr>
    </w:lvl>
    <w:lvl w:ilvl="2" w:tplc="3B3E2292" w:tentative="1">
      <w:start w:val="1"/>
      <w:numFmt w:val="lowerRoman"/>
      <w:lvlText w:val="%3."/>
      <w:lvlJc w:val="right"/>
      <w:pPr>
        <w:ind w:left="2160" w:hanging="180"/>
      </w:pPr>
    </w:lvl>
    <w:lvl w:ilvl="3" w:tplc="A762EB00" w:tentative="1">
      <w:start w:val="1"/>
      <w:numFmt w:val="decimal"/>
      <w:lvlText w:val="%4."/>
      <w:lvlJc w:val="left"/>
      <w:pPr>
        <w:ind w:left="2880" w:hanging="360"/>
      </w:pPr>
    </w:lvl>
    <w:lvl w:ilvl="4" w:tplc="11763934" w:tentative="1">
      <w:start w:val="1"/>
      <w:numFmt w:val="lowerLetter"/>
      <w:lvlText w:val="%5."/>
      <w:lvlJc w:val="left"/>
      <w:pPr>
        <w:ind w:left="3600" w:hanging="360"/>
      </w:pPr>
    </w:lvl>
    <w:lvl w:ilvl="5" w:tplc="EC980122" w:tentative="1">
      <w:start w:val="1"/>
      <w:numFmt w:val="lowerRoman"/>
      <w:lvlText w:val="%6."/>
      <w:lvlJc w:val="right"/>
      <w:pPr>
        <w:ind w:left="4320" w:hanging="180"/>
      </w:pPr>
    </w:lvl>
    <w:lvl w:ilvl="6" w:tplc="B6463304" w:tentative="1">
      <w:start w:val="1"/>
      <w:numFmt w:val="decimal"/>
      <w:lvlText w:val="%7."/>
      <w:lvlJc w:val="left"/>
      <w:pPr>
        <w:ind w:left="5040" w:hanging="360"/>
      </w:pPr>
    </w:lvl>
    <w:lvl w:ilvl="7" w:tplc="89AC07A4" w:tentative="1">
      <w:start w:val="1"/>
      <w:numFmt w:val="lowerLetter"/>
      <w:lvlText w:val="%8."/>
      <w:lvlJc w:val="left"/>
      <w:pPr>
        <w:ind w:left="5760" w:hanging="360"/>
      </w:pPr>
    </w:lvl>
    <w:lvl w:ilvl="8" w:tplc="65E8E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A641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FA180E" w:tentative="1">
      <w:start w:val="1"/>
      <w:numFmt w:val="lowerLetter"/>
      <w:lvlText w:val="%2."/>
      <w:lvlJc w:val="left"/>
      <w:pPr>
        <w:ind w:left="1440" w:hanging="360"/>
      </w:pPr>
    </w:lvl>
    <w:lvl w:ilvl="2" w:tplc="255453FE" w:tentative="1">
      <w:start w:val="1"/>
      <w:numFmt w:val="lowerRoman"/>
      <w:lvlText w:val="%3."/>
      <w:lvlJc w:val="right"/>
      <w:pPr>
        <w:ind w:left="2160" w:hanging="180"/>
      </w:pPr>
    </w:lvl>
    <w:lvl w:ilvl="3" w:tplc="91644CE8" w:tentative="1">
      <w:start w:val="1"/>
      <w:numFmt w:val="decimal"/>
      <w:lvlText w:val="%4."/>
      <w:lvlJc w:val="left"/>
      <w:pPr>
        <w:ind w:left="2880" w:hanging="360"/>
      </w:pPr>
    </w:lvl>
    <w:lvl w:ilvl="4" w:tplc="AE4AE8D4" w:tentative="1">
      <w:start w:val="1"/>
      <w:numFmt w:val="lowerLetter"/>
      <w:lvlText w:val="%5."/>
      <w:lvlJc w:val="left"/>
      <w:pPr>
        <w:ind w:left="3600" w:hanging="360"/>
      </w:pPr>
    </w:lvl>
    <w:lvl w:ilvl="5" w:tplc="B830A1AE" w:tentative="1">
      <w:start w:val="1"/>
      <w:numFmt w:val="lowerRoman"/>
      <w:lvlText w:val="%6."/>
      <w:lvlJc w:val="right"/>
      <w:pPr>
        <w:ind w:left="4320" w:hanging="180"/>
      </w:pPr>
    </w:lvl>
    <w:lvl w:ilvl="6" w:tplc="08B8BDAA" w:tentative="1">
      <w:start w:val="1"/>
      <w:numFmt w:val="decimal"/>
      <w:lvlText w:val="%7."/>
      <w:lvlJc w:val="left"/>
      <w:pPr>
        <w:ind w:left="5040" w:hanging="360"/>
      </w:pPr>
    </w:lvl>
    <w:lvl w:ilvl="7" w:tplc="A4EC5FF2" w:tentative="1">
      <w:start w:val="1"/>
      <w:numFmt w:val="lowerLetter"/>
      <w:lvlText w:val="%8."/>
      <w:lvlJc w:val="left"/>
      <w:pPr>
        <w:ind w:left="5760" w:hanging="360"/>
      </w:pPr>
    </w:lvl>
    <w:lvl w:ilvl="8" w:tplc="1E68C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DE4B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0B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262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7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A9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2E0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7EB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CE7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29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C581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5426" w:tentative="1">
      <w:start w:val="1"/>
      <w:numFmt w:val="lowerLetter"/>
      <w:lvlText w:val="%2."/>
      <w:lvlJc w:val="left"/>
      <w:pPr>
        <w:ind w:left="1440" w:hanging="360"/>
      </w:pPr>
    </w:lvl>
    <w:lvl w:ilvl="2" w:tplc="AA228FBA" w:tentative="1">
      <w:start w:val="1"/>
      <w:numFmt w:val="lowerRoman"/>
      <w:lvlText w:val="%3."/>
      <w:lvlJc w:val="right"/>
      <w:pPr>
        <w:ind w:left="2160" w:hanging="180"/>
      </w:pPr>
    </w:lvl>
    <w:lvl w:ilvl="3" w:tplc="6E16E2DC" w:tentative="1">
      <w:start w:val="1"/>
      <w:numFmt w:val="decimal"/>
      <w:lvlText w:val="%4."/>
      <w:lvlJc w:val="left"/>
      <w:pPr>
        <w:ind w:left="2880" w:hanging="360"/>
      </w:pPr>
    </w:lvl>
    <w:lvl w:ilvl="4" w:tplc="90327A32" w:tentative="1">
      <w:start w:val="1"/>
      <w:numFmt w:val="lowerLetter"/>
      <w:lvlText w:val="%5."/>
      <w:lvlJc w:val="left"/>
      <w:pPr>
        <w:ind w:left="3600" w:hanging="360"/>
      </w:pPr>
    </w:lvl>
    <w:lvl w:ilvl="5" w:tplc="46C43DCE" w:tentative="1">
      <w:start w:val="1"/>
      <w:numFmt w:val="lowerRoman"/>
      <w:lvlText w:val="%6."/>
      <w:lvlJc w:val="right"/>
      <w:pPr>
        <w:ind w:left="4320" w:hanging="180"/>
      </w:pPr>
    </w:lvl>
    <w:lvl w:ilvl="6" w:tplc="6C509AA2" w:tentative="1">
      <w:start w:val="1"/>
      <w:numFmt w:val="decimal"/>
      <w:lvlText w:val="%7."/>
      <w:lvlJc w:val="left"/>
      <w:pPr>
        <w:ind w:left="5040" w:hanging="360"/>
      </w:pPr>
    </w:lvl>
    <w:lvl w:ilvl="7" w:tplc="BBCC2628" w:tentative="1">
      <w:start w:val="1"/>
      <w:numFmt w:val="lowerLetter"/>
      <w:lvlText w:val="%8."/>
      <w:lvlJc w:val="left"/>
      <w:pPr>
        <w:ind w:left="5760" w:hanging="360"/>
      </w:pPr>
    </w:lvl>
    <w:lvl w:ilvl="8" w:tplc="44003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B724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F23B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88A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2F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AE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ADA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6C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03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2B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D74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697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7CE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C2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4B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724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2F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4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EAE9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DCEE55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9C617E2">
      <w:start w:val="1"/>
      <w:numFmt w:val="lowerLetter"/>
      <w:lvlText w:val="%2."/>
      <w:lvlJc w:val="left"/>
      <w:pPr>
        <w:ind w:left="1364" w:hanging="360"/>
      </w:pPr>
    </w:lvl>
    <w:lvl w:ilvl="2" w:tplc="7CFA03E8">
      <w:start w:val="1"/>
      <w:numFmt w:val="lowerRoman"/>
      <w:lvlText w:val="%3."/>
      <w:lvlJc w:val="right"/>
      <w:pPr>
        <w:ind w:left="2084" w:hanging="180"/>
      </w:pPr>
    </w:lvl>
    <w:lvl w:ilvl="3" w:tplc="410AADD8">
      <w:start w:val="1"/>
      <w:numFmt w:val="decimal"/>
      <w:lvlText w:val="%4."/>
      <w:lvlJc w:val="left"/>
      <w:pPr>
        <w:ind w:left="2804" w:hanging="360"/>
      </w:pPr>
    </w:lvl>
    <w:lvl w:ilvl="4" w:tplc="D66C860A">
      <w:start w:val="1"/>
      <w:numFmt w:val="lowerLetter"/>
      <w:lvlText w:val="%5."/>
      <w:lvlJc w:val="left"/>
      <w:pPr>
        <w:ind w:left="3524" w:hanging="360"/>
      </w:pPr>
    </w:lvl>
    <w:lvl w:ilvl="5" w:tplc="8EA49CE0">
      <w:start w:val="1"/>
      <w:numFmt w:val="lowerRoman"/>
      <w:lvlText w:val="%6."/>
      <w:lvlJc w:val="right"/>
      <w:pPr>
        <w:ind w:left="4244" w:hanging="180"/>
      </w:pPr>
    </w:lvl>
    <w:lvl w:ilvl="6" w:tplc="EBE8BDAC">
      <w:start w:val="1"/>
      <w:numFmt w:val="decimal"/>
      <w:lvlText w:val="%7."/>
      <w:lvlJc w:val="left"/>
      <w:pPr>
        <w:ind w:left="4964" w:hanging="360"/>
      </w:pPr>
    </w:lvl>
    <w:lvl w:ilvl="7" w:tplc="102490B0">
      <w:start w:val="1"/>
      <w:numFmt w:val="lowerLetter"/>
      <w:lvlText w:val="%8."/>
      <w:lvlJc w:val="left"/>
      <w:pPr>
        <w:ind w:left="5684" w:hanging="360"/>
      </w:pPr>
    </w:lvl>
    <w:lvl w:ilvl="8" w:tplc="2C88EB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03AEC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6F2A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ACEE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4A9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83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09A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3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E0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09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B1002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84AFE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0A0B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427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54E9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76CB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6C57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6E7B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6E32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7BE0A2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9465558" w:tentative="1">
      <w:start w:val="1"/>
      <w:numFmt w:val="lowerLetter"/>
      <w:lvlText w:val="%2."/>
      <w:lvlJc w:val="left"/>
      <w:pPr>
        <w:ind w:left="1440" w:hanging="360"/>
      </w:pPr>
    </w:lvl>
    <w:lvl w:ilvl="2" w:tplc="7A28B0E4" w:tentative="1">
      <w:start w:val="1"/>
      <w:numFmt w:val="lowerRoman"/>
      <w:lvlText w:val="%3."/>
      <w:lvlJc w:val="right"/>
      <w:pPr>
        <w:ind w:left="2160" w:hanging="180"/>
      </w:pPr>
    </w:lvl>
    <w:lvl w:ilvl="3" w:tplc="8AC2AFDE" w:tentative="1">
      <w:start w:val="1"/>
      <w:numFmt w:val="decimal"/>
      <w:lvlText w:val="%4."/>
      <w:lvlJc w:val="left"/>
      <w:pPr>
        <w:ind w:left="2880" w:hanging="360"/>
      </w:pPr>
    </w:lvl>
    <w:lvl w:ilvl="4" w:tplc="7638AB18" w:tentative="1">
      <w:start w:val="1"/>
      <w:numFmt w:val="lowerLetter"/>
      <w:lvlText w:val="%5."/>
      <w:lvlJc w:val="left"/>
      <w:pPr>
        <w:ind w:left="3600" w:hanging="360"/>
      </w:pPr>
    </w:lvl>
    <w:lvl w:ilvl="5" w:tplc="548CE8B0" w:tentative="1">
      <w:start w:val="1"/>
      <w:numFmt w:val="lowerRoman"/>
      <w:lvlText w:val="%6."/>
      <w:lvlJc w:val="right"/>
      <w:pPr>
        <w:ind w:left="4320" w:hanging="180"/>
      </w:pPr>
    </w:lvl>
    <w:lvl w:ilvl="6" w:tplc="27D21D86" w:tentative="1">
      <w:start w:val="1"/>
      <w:numFmt w:val="decimal"/>
      <w:lvlText w:val="%7."/>
      <w:lvlJc w:val="left"/>
      <w:pPr>
        <w:ind w:left="5040" w:hanging="360"/>
      </w:pPr>
    </w:lvl>
    <w:lvl w:ilvl="7" w:tplc="DFB25434" w:tentative="1">
      <w:start w:val="1"/>
      <w:numFmt w:val="lowerLetter"/>
      <w:lvlText w:val="%8."/>
      <w:lvlJc w:val="left"/>
      <w:pPr>
        <w:ind w:left="5760" w:hanging="360"/>
      </w:pPr>
    </w:lvl>
    <w:lvl w:ilvl="8" w:tplc="DA30F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326B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700F7A" w:tentative="1">
      <w:start w:val="1"/>
      <w:numFmt w:val="lowerLetter"/>
      <w:lvlText w:val="%2."/>
      <w:lvlJc w:val="left"/>
      <w:pPr>
        <w:ind w:left="1440" w:hanging="360"/>
      </w:pPr>
    </w:lvl>
    <w:lvl w:ilvl="2" w:tplc="31A869B2" w:tentative="1">
      <w:start w:val="1"/>
      <w:numFmt w:val="lowerRoman"/>
      <w:lvlText w:val="%3."/>
      <w:lvlJc w:val="right"/>
      <w:pPr>
        <w:ind w:left="2160" w:hanging="180"/>
      </w:pPr>
    </w:lvl>
    <w:lvl w:ilvl="3" w:tplc="590A3CAE" w:tentative="1">
      <w:start w:val="1"/>
      <w:numFmt w:val="decimal"/>
      <w:lvlText w:val="%4."/>
      <w:lvlJc w:val="left"/>
      <w:pPr>
        <w:ind w:left="2880" w:hanging="360"/>
      </w:pPr>
    </w:lvl>
    <w:lvl w:ilvl="4" w:tplc="4230B342" w:tentative="1">
      <w:start w:val="1"/>
      <w:numFmt w:val="lowerLetter"/>
      <w:lvlText w:val="%5."/>
      <w:lvlJc w:val="left"/>
      <w:pPr>
        <w:ind w:left="3600" w:hanging="360"/>
      </w:pPr>
    </w:lvl>
    <w:lvl w:ilvl="5" w:tplc="7046D07C" w:tentative="1">
      <w:start w:val="1"/>
      <w:numFmt w:val="lowerRoman"/>
      <w:lvlText w:val="%6."/>
      <w:lvlJc w:val="right"/>
      <w:pPr>
        <w:ind w:left="4320" w:hanging="180"/>
      </w:pPr>
    </w:lvl>
    <w:lvl w:ilvl="6" w:tplc="9E127EB8" w:tentative="1">
      <w:start w:val="1"/>
      <w:numFmt w:val="decimal"/>
      <w:lvlText w:val="%7."/>
      <w:lvlJc w:val="left"/>
      <w:pPr>
        <w:ind w:left="5040" w:hanging="360"/>
      </w:pPr>
    </w:lvl>
    <w:lvl w:ilvl="7" w:tplc="B7A23EB6" w:tentative="1">
      <w:start w:val="1"/>
      <w:numFmt w:val="lowerLetter"/>
      <w:lvlText w:val="%8."/>
      <w:lvlJc w:val="left"/>
      <w:pPr>
        <w:ind w:left="5760" w:hanging="360"/>
      </w:pPr>
    </w:lvl>
    <w:lvl w:ilvl="8" w:tplc="350A3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1A6B4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F426F6" w:tentative="1">
      <w:start w:val="1"/>
      <w:numFmt w:val="lowerLetter"/>
      <w:lvlText w:val="%2."/>
      <w:lvlJc w:val="left"/>
      <w:pPr>
        <w:ind w:left="1440" w:hanging="360"/>
      </w:pPr>
    </w:lvl>
    <w:lvl w:ilvl="2" w:tplc="2F90F4C6" w:tentative="1">
      <w:start w:val="1"/>
      <w:numFmt w:val="lowerRoman"/>
      <w:lvlText w:val="%3."/>
      <w:lvlJc w:val="right"/>
      <w:pPr>
        <w:ind w:left="2160" w:hanging="180"/>
      </w:pPr>
    </w:lvl>
    <w:lvl w:ilvl="3" w:tplc="DF4273BC" w:tentative="1">
      <w:start w:val="1"/>
      <w:numFmt w:val="decimal"/>
      <w:lvlText w:val="%4."/>
      <w:lvlJc w:val="left"/>
      <w:pPr>
        <w:ind w:left="2880" w:hanging="360"/>
      </w:pPr>
    </w:lvl>
    <w:lvl w:ilvl="4" w:tplc="71F67FA6" w:tentative="1">
      <w:start w:val="1"/>
      <w:numFmt w:val="lowerLetter"/>
      <w:lvlText w:val="%5."/>
      <w:lvlJc w:val="left"/>
      <w:pPr>
        <w:ind w:left="3600" w:hanging="360"/>
      </w:pPr>
    </w:lvl>
    <w:lvl w:ilvl="5" w:tplc="80887E10" w:tentative="1">
      <w:start w:val="1"/>
      <w:numFmt w:val="lowerRoman"/>
      <w:lvlText w:val="%6."/>
      <w:lvlJc w:val="right"/>
      <w:pPr>
        <w:ind w:left="4320" w:hanging="180"/>
      </w:pPr>
    </w:lvl>
    <w:lvl w:ilvl="6" w:tplc="B5DEABA6" w:tentative="1">
      <w:start w:val="1"/>
      <w:numFmt w:val="decimal"/>
      <w:lvlText w:val="%7."/>
      <w:lvlJc w:val="left"/>
      <w:pPr>
        <w:ind w:left="5040" w:hanging="360"/>
      </w:pPr>
    </w:lvl>
    <w:lvl w:ilvl="7" w:tplc="AC4EB94A" w:tentative="1">
      <w:start w:val="1"/>
      <w:numFmt w:val="lowerLetter"/>
      <w:lvlText w:val="%8."/>
      <w:lvlJc w:val="left"/>
      <w:pPr>
        <w:ind w:left="5760" w:hanging="360"/>
      </w:pPr>
    </w:lvl>
    <w:lvl w:ilvl="8" w:tplc="F4004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19A56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E280E0C" w:tentative="1">
      <w:start w:val="1"/>
      <w:numFmt w:val="lowerLetter"/>
      <w:lvlText w:val="%2."/>
      <w:lvlJc w:val="left"/>
      <w:pPr>
        <w:ind w:left="1364" w:hanging="360"/>
      </w:pPr>
    </w:lvl>
    <w:lvl w:ilvl="2" w:tplc="537AE826" w:tentative="1">
      <w:start w:val="1"/>
      <w:numFmt w:val="lowerRoman"/>
      <w:lvlText w:val="%3."/>
      <w:lvlJc w:val="right"/>
      <w:pPr>
        <w:ind w:left="2084" w:hanging="180"/>
      </w:pPr>
    </w:lvl>
    <w:lvl w:ilvl="3" w:tplc="7842F5E8" w:tentative="1">
      <w:start w:val="1"/>
      <w:numFmt w:val="decimal"/>
      <w:lvlText w:val="%4."/>
      <w:lvlJc w:val="left"/>
      <w:pPr>
        <w:ind w:left="2804" w:hanging="360"/>
      </w:pPr>
    </w:lvl>
    <w:lvl w:ilvl="4" w:tplc="665EC2F2" w:tentative="1">
      <w:start w:val="1"/>
      <w:numFmt w:val="lowerLetter"/>
      <w:lvlText w:val="%5."/>
      <w:lvlJc w:val="left"/>
      <w:pPr>
        <w:ind w:left="3524" w:hanging="360"/>
      </w:pPr>
    </w:lvl>
    <w:lvl w:ilvl="5" w:tplc="5BCAE7B2" w:tentative="1">
      <w:start w:val="1"/>
      <w:numFmt w:val="lowerRoman"/>
      <w:lvlText w:val="%6."/>
      <w:lvlJc w:val="right"/>
      <w:pPr>
        <w:ind w:left="4244" w:hanging="180"/>
      </w:pPr>
    </w:lvl>
    <w:lvl w:ilvl="6" w:tplc="53A663D6" w:tentative="1">
      <w:start w:val="1"/>
      <w:numFmt w:val="decimal"/>
      <w:lvlText w:val="%7."/>
      <w:lvlJc w:val="left"/>
      <w:pPr>
        <w:ind w:left="4964" w:hanging="360"/>
      </w:pPr>
    </w:lvl>
    <w:lvl w:ilvl="7" w:tplc="77BCD030" w:tentative="1">
      <w:start w:val="1"/>
      <w:numFmt w:val="lowerLetter"/>
      <w:lvlText w:val="%8."/>
      <w:lvlJc w:val="left"/>
      <w:pPr>
        <w:ind w:left="5684" w:hanging="360"/>
      </w:pPr>
    </w:lvl>
    <w:lvl w:ilvl="8" w:tplc="3C62E1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21A1F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20585C" w:tentative="1">
      <w:start w:val="1"/>
      <w:numFmt w:val="lowerLetter"/>
      <w:lvlText w:val="%2."/>
      <w:lvlJc w:val="left"/>
      <w:pPr>
        <w:ind w:left="1440" w:hanging="360"/>
      </w:pPr>
    </w:lvl>
    <w:lvl w:ilvl="2" w:tplc="3DD80482" w:tentative="1">
      <w:start w:val="1"/>
      <w:numFmt w:val="lowerRoman"/>
      <w:lvlText w:val="%3."/>
      <w:lvlJc w:val="right"/>
      <w:pPr>
        <w:ind w:left="2160" w:hanging="180"/>
      </w:pPr>
    </w:lvl>
    <w:lvl w:ilvl="3" w:tplc="3EE416E6" w:tentative="1">
      <w:start w:val="1"/>
      <w:numFmt w:val="decimal"/>
      <w:lvlText w:val="%4."/>
      <w:lvlJc w:val="left"/>
      <w:pPr>
        <w:ind w:left="2880" w:hanging="360"/>
      </w:pPr>
    </w:lvl>
    <w:lvl w:ilvl="4" w:tplc="EB1ACA44" w:tentative="1">
      <w:start w:val="1"/>
      <w:numFmt w:val="lowerLetter"/>
      <w:lvlText w:val="%5."/>
      <w:lvlJc w:val="left"/>
      <w:pPr>
        <w:ind w:left="3600" w:hanging="360"/>
      </w:pPr>
    </w:lvl>
    <w:lvl w:ilvl="5" w:tplc="1FFECA3E" w:tentative="1">
      <w:start w:val="1"/>
      <w:numFmt w:val="lowerRoman"/>
      <w:lvlText w:val="%6."/>
      <w:lvlJc w:val="right"/>
      <w:pPr>
        <w:ind w:left="4320" w:hanging="180"/>
      </w:pPr>
    </w:lvl>
    <w:lvl w:ilvl="6" w:tplc="1FAEC01C" w:tentative="1">
      <w:start w:val="1"/>
      <w:numFmt w:val="decimal"/>
      <w:lvlText w:val="%7."/>
      <w:lvlJc w:val="left"/>
      <w:pPr>
        <w:ind w:left="5040" w:hanging="360"/>
      </w:pPr>
    </w:lvl>
    <w:lvl w:ilvl="7" w:tplc="8B8E5554" w:tentative="1">
      <w:start w:val="1"/>
      <w:numFmt w:val="lowerLetter"/>
      <w:lvlText w:val="%8."/>
      <w:lvlJc w:val="left"/>
      <w:pPr>
        <w:ind w:left="5760" w:hanging="360"/>
      </w:pPr>
    </w:lvl>
    <w:lvl w:ilvl="8" w:tplc="F4367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7018799">
    <w:abstractNumId w:val="19"/>
  </w:num>
  <w:num w:numId="2" w16cid:durableId="89618616">
    <w:abstractNumId w:val="6"/>
  </w:num>
  <w:num w:numId="3" w16cid:durableId="2004773417">
    <w:abstractNumId w:val="10"/>
  </w:num>
  <w:num w:numId="4" w16cid:durableId="1509322566">
    <w:abstractNumId w:val="27"/>
  </w:num>
  <w:num w:numId="5" w16cid:durableId="1775779603">
    <w:abstractNumId w:val="0"/>
  </w:num>
  <w:num w:numId="6" w16cid:durableId="354695427">
    <w:abstractNumId w:val="11"/>
  </w:num>
  <w:num w:numId="7" w16cid:durableId="462892442">
    <w:abstractNumId w:val="28"/>
  </w:num>
  <w:num w:numId="8" w16cid:durableId="315769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241023">
    <w:abstractNumId w:val="1"/>
  </w:num>
  <w:num w:numId="10" w16cid:durableId="5796017">
    <w:abstractNumId w:val="0"/>
    <w:lvlOverride w:ilvl="0">
      <w:startOverride w:val="1"/>
    </w:lvlOverride>
  </w:num>
  <w:num w:numId="11" w16cid:durableId="1985114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9568527">
    <w:abstractNumId w:val="6"/>
  </w:num>
  <w:num w:numId="13" w16cid:durableId="1937210163">
    <w:abstractNumId w:val="27"/>
  </w:num>
  <w:num w:numId="14" w16cid:durableId="3840667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5080505">
    <w:abstractNumId w:val="20"/>
  </w:num>
  <w:num w:numId="16" w16cid:durableId="11539584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34352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3401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6826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9024786">
    <w:abstractNumId w:val="24"/>
  </w:num>
  <w:num w:numId="21" w16cid:durableId="968901365">
    <w:abstractNumId w:val="8"/>
  </w:num>
  <w:num w:numId="22" w16cid:durableId="1461607329">
    <w:abstractNumId w:val="31"/>
  </w:num>
  <w:num w:numId="23" w16cid:durableId="256064339">
    <w:abstractNumId w:val="34"/>
  </w:num>
  <w:num w:numId="24" w16cid:durableId="279070788">
    <w:abstractNumId w:val="32"/>
  </w:num>
  <w:num w:numId="25" w16cid:durableId="1094089513">
    <w:abstractNumId w:val="12"/>
  </w:num>
  <w:num w:numId="26" w16cid:durableId="1518930308">
    <w:abstractNumId w:val="33"/>
  </w:num>
  <w:num w:numId="27" w16cid:durableId="804545671">
    <w:abstractNumId w:val="7"/>
  </w:num>
  <w:num w:numId="28" w16cid:durableId="94519726">
    <w:abstractNumId w:val="30"/>
  </w:num>
  <w:num w:numId="29" w16cid:durableId="158547550">
    <w:abstractNumId w:val="16"/>
  </w:num>
  <w:num w:numId="30" w16cid:durableId="1520386207">
    <w:abstractNumId w:val="2"/>
  </w:num>
  <w:num w:numId="31" w16cid:durableId="418675708">
    <w:abstractNumId w:val="25"/>
  </w:num>
  <w:num w:numId="32" w16cid:durableId="1308705188">
    <w:abstractNumId w:val="17"/>
  </w:num>
  <w:num w:numId="33" w16cid:durableId="726876382">
    <w:abstractNumId w:val="15"/>
  </w:num>
  <w:num w:numId="34" w16cid:durableId="1386300322">
    <w:abstractNumId w:val="3"/>
  </w:num>
  <w:num w:numId="35" w16cid:durableId="803618058">
    <w:abstractNumId w:val="4"/>
  </w:num>
  <w:num w:numId="36" w16cid:durableId="146094557">
    <w:abstractNumId w:val="14"/>
  </w:num>
  <w:num w:numId="37" w16cid:durableId="1346055185">
    <w:abstractNumId w:val="9"/>
  </w:num>
  <w:num w:numId="38" w16cid:durableId="59249996">
    <w:abstractNumId w:val="13"/>
  </w:num>
  <w:num w:numId="39" w16cid:durableId="1640843018">
    <w:abstractNumId w:val="22"/>
  </w:num>
  <w:num w:numId="40" w16cid:durableId="551773761">
    <w:abstractNumId w:val="29"/>
  </w:num>
  <w:num w:numId="41" w16cid:durableId="1075014820">
    <w:abstractNumId w:val="18"/>
  </w:num>
  <w:num w:numId="42" w16cid:durableId="17103725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6A6F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739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3EE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FCFB9F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MenoPendente">
    <w:name w:val="Unresolved Mention"/>
    <w:basedOn w:val="Fontepargpadro"/>
    <w:rsid w:val="00546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.apps.tcu.gov.br/doc/acordao-completo/1392/2016/Plen%C3%A1r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867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2024-02-15T14:56:00Z</dcterms:created>
  <dcterms:modified xsi:type="dcterms:W3CDTF">2024-08-27T12:36:00Z</dcterms:modified>
</cp:coreProperties>
</file>