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1C91" w14:textId="45B4E8FB" w:rsidR="00A075DD" w:rsidRPr="00724B87" w:rsidRDefault="003D1FDA" w:rsidP="00A075DD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  <w:r w:rsidRPr="00724B87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PROJETO DE LEI </w:t>
      </w:r>
      <w:r w:rsidR="0051034D" w:rsidRPr="00724B87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N</w:t>
      </w:r>
      <w:r w:rsidR="006A51A4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º</w:t>
      </w:r>
      <w:r w:rsidR="0051034D" w:rsidRPr="00724B87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 </w:t>
      </w:r>
      <w:r w:rsidR="00B22E02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22/2025</w:t>
      </w:r>
    </w:p>
    <w:p w14:paraId="5F097CDB" w14:textId="72A10F57" w:rsidR="00A075DD" w:rsidRPr="00724B87" w:rsidRDefault="00A075DD" w:rsidP="00A075DD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</w:p>
    <w:p w14:paraId="27D65ED7" w14:textId="77777777" w:rsidR="00724B87" w:rsidRPr="00724B87" w:rsidRDefault="00724B87" w:rsidP="00A075DD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</w:p>
    <w:p w14:paraId="436B56B5" w14:textId="1F52B0EE" w:rsidR="003D1FDA" w:rsidRPr="008179CB" w:rsidRDefault="00A075DD" w:rsidP="00A075DD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8179CB">
        <w:rPr>
          <w:rFonts w:ascii="Times New Roman" w:hAnsi="Times New Roman" w:cs="Times New Roman"/>
          <w:sz w:val="23"/>
          <w:szCs w:val="23"/>
          <w:shd w:val="clear" w:color="auto" w:fill="FFFFFF"/>
        </w:rPr>
        <w:t>D</w:t>
      </w:r>
      <w:r w:rsidR="008179CB" w:rsidRPr="008179CB">
        <w:rPr>
          <w:rFonts w:ascii="Times New Roman" w:hAnsi="Times New Roman" w:cs="Times New Roman"/>
          <w:sz w:val="23"/>
          <w:szCs w:val="23"/>
          <w:shd w:val="clear" w:color="auto" w:fill="FFFFFF"/>
        </w:rPr>
        <w:t>ata: 20</w:t>
      </w:r>
      <w:r w:rsidR="008179C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de fevereiro de 2025</w:t>
      </w:r>
    </w:p>
    <w:p w14:paraId="5D2F4DD6" w14:textId="660116AD" w:rsidR="00A075DD" w:rsidRPr="00724B87" w:rsidRDefault="00A075DD" w:rsidP="00A075DD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</w:p>
    <w:p w14:paraId="52CFCA01" w14:textId="77777777" w:rsidR="00724B87" w:rsidRPr="00724B87" w:rsidRDefault="00724B87" w:rsidP="00A075DD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</w:p>
    <w:p w14:paraId="32580B81" w14:textId="4D2C7E1A" w:rsidR="00A075DD" w:rsidRPr="00724B87" w:rsidRDefault="00A075DD" w:rsidP="00A075D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r w:rsidRPr="00724B87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>Dispõe sobre os honorários advocatícios devidos ao</w:t>
      </w:r>
      <w:r w:rsidR="004B07EC" w:rsidRPr="00724B87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>(s)</w:t>
      </w:r>
      <w:r w:rsidRPr="00724B87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 xml:space="preserve"> advogado</w:t>
      </w:r>
      <w:r w:rsidR="004B07EC" w:rsidRPr="00724B87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>(s)</w:t>
      </w:r>
      <w:r w:rsidRPr="00724B87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 xml:space="preserve"> do </w:t>
      </w:r>
      <w:r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Fundo Municipal de Previdência Social dos Servidores de Sorriso/MT – PREVISO, e dá outras providências.</w:t>
      </w:r>
    </w:p>
    <w:p w14:paraId="6492CFAC" w14:textId="08857C6E" w:rsidR="00A075DD" w:rsidRPr="00724B87" w:rsidRDefault="00A075DD" w:rsidP="00A075D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0403494D" w14:textId="77777777" w:rsidR="00724B87" w:rsidRPr="00724B87" w:rsidRDefault="00724B87" w:rsidP="00A075D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655A266C" w14:textId="15FC2B1F" w:rsidR="00A075DD" w:rsidRPr="00724B87" w:rsidRDefault="00A075DD" w:rsidP="00A075D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724B87">
        <w:rPr>
          <w:rFonts w:ascii="Times New Roman" w:hAnsi="Times New Roman" w:cs="Times New Roman"/>
          <w:bCs/>
          <w:iCs/>
          <w:sz w:val="23"/>
          <w:szCs w:val="23"/>
        </w:rPr>
        <w:t>A</w:t>
      </w:r>
      <w:r w:rsidR="004B07EC" w:rsidRPr="00724B87">
        <w:rPr>
          <w:rFonts w:ascii="Times New Roman" w:hAnsi="Times New Roman" w:cs="Times New Roman"/>
          <w:bCs/>
          <w:iCs/>
          <w:sz w:val="23"/>
          <w:szCs w:val="23"/>
        </w:rPr>
        <w:t>lei Fernandes</w:t>
      </w:r>
      <w:r w:rsidRPr="00724B87">
        <w:rPr>
          <w:rFonts w:ascii="Times New Roman" w:hAnsi="Times New Roman" w:cs="Times New Roman"/>
          <w:bCs/>
          <w:iCs/>
          <w:sz w:val="23"/>
          <w:szCs w:val="23"/>
        </w:rPr>
        <w:t>, Prefeito Municipal de Sorriso, Estado de Mato Grosso, encaminho para deliberação na Câmara Municipal de Sorriso o seguinte Projeto de Lei:</w:t>
      </w:r>
    </w:p>
    <w:p w14:paraId="3FF25989" w14:textId="0D1FD170" w:rsidR="00A075DD" w:rsidRPr="00724B87" w:rsidRDefault="00A075DD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bookmarkStart w:id="0" w:name="a1"/>
      <w:bookmarkEnd w:id="0"/>
    </w:p>
    <w:p w14:paraId="18B26D96" w14:textId="77777777" w:rsidR="00724B87" w:rsidRPr="00724B87" w:rsidRDefault="00724B87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65A15B2A" w14:textId="6A63E3B0" w:rsidR="00A450EF" w:rsidRPr="00724B87" w:rsidRDefault="00A450EF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r w:rsidRPr="00724B87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  <w:t>Art. 1º</w:t>
      </w:r>
      <w:r w:rsidR="009A5424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A totalidade dos</w:t>
      </w:r>
      <w:r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honorários advocatícios concedidos em qualquer feito judicial ou extrajudicial ao Fundo Municipal de Previdência Social serão destinados</w:t>
      </w:r>
      <w:r w:rsidR="009E01D1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exclusivamente</w:t>
      </w:r>
      <w:r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ao</w:t>
      </w:r>
      <w:r w:rsidR="00D10D9F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(s)</w:t>
      </w:r>
      <w:r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advogado(s)</w:t>
      </w:r>
      <w:r w:rsidR="009A5424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em efetivo exercício</w:t>
      </w:r>
      <w:r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no Fundo Municipal de Previdência Social dos Servidores de Sorriso/MT - PREVISO, de forma igualitária</w:t>
      </w:r>
      <w:r w:rsidR="004B07EC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.</w:t>
      </w:r>
    </w:p>
    <w:p w14:paraId="201CE493" w14:textId="77777777" w:rsidR="009A5424" w:rsidRPr="00724B87" w:rsidRDefault="009A5424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178E26B3" w14:textId="2D79AC67" w:rsidR="00CF1A64" w:rsidRPr="00724B87" w:rsidRDefault="008E00DA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  <w:t>§ 1º</w:t>
      </w:r>
      <w:r w:rsidR="00A450EF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 Os valores referentes aos honorários advocatícios serão depositados em conta específica a ser efetivada pelo Fundo Municipal de Previdência Social dos Servidores de Sorriso/MT - PREVISO </w:t>
      </w:r>
      <w:r w:rsidR="009A5424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no</w:t>
      </w:r>
      <w:r w:rsidR="00A450EF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prazo máximo de 30 (trinta) dias, devendo tais valores serem rateados em tantos advogados efetivos</w:t>
      </w:r>
      <w:r w:rsidR="009E01D1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</w:t>
      </w:r>
      <w:r w:rsidR="00D9275B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a esta autarquia possuir.</w:t>
      </w:r>
    </w:p>
    <w:p w14:paraId="470C052D" w14:textId="77777777" w:rsidR="009A5424" w:rsidRPr="00724B87" w:rsidRDefault="009A5424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5C7BB88D" w14:textId="0F3C8748" w:rsidR="009E01D1" w:rsidRPr="00724B87" w:rsidRDefault="008E00DA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§ 2º </w:t>
      </w:r>
      <w:r w:rsidR="003222CE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Do</w:t>
      </w:r>
      <w:r w:rsidR="009E01D1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s honorários sucumbenciais </w:t>
      </w:r>
      <w:r w:rsidR="003222CE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a </w:t>
      </w:r>
      <w:r w:rsidR="009E01D1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serem repassados à conta do</w:t>
      </w:r>
      <w:r w:rsidR="00D9275B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(s)</w:t>
      </w:r>
      <w:r w:rsidR="009E01D1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advogado</w:t>
      </w:r>
      <w:r w:rsidR="00D9275B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(s)</w:t>
      </w:r>
      <w:r w:rsidR="009E01D1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de provimento efetivo, juntamente com a sua remuneração</w:t>
      </w:r>
      <w:r w:rsidR="00D9275B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deve</w:t>
      </w:r>
      <w:r w:rsidR="003222CE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r</w:t>
      </w:r>
      <w:r w:rsidR="00D10D9F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ão</w:t>
      </w:r>
      <w:r w:rsidR="00D9275B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ser </w:t>
      </w:r>
      <w:r w:rsidR="009A5424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deduzidos os impostos</w:t>
      </w:r>
      <w:r w:rsidR="00D9275B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, </w:t>
      </w:r>
      <w:r w:rsidR="009E01D1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observad</w:t>
      </w:r>
      <w:r w:rsidR="003222CE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o</w:t>
      </w:r>
      <w:r w:rsidR="009E01D1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</w:t>
      </w:r>
      <w:r w:rsidR="003222CE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o limite remuneratório previsto no art. 37, XI da Constituição. </w:t>
      </w:r>
      <w:r w:rsidR="004B07EC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Caso o limite seja ultrapassado, os valores </w:t>
      </w:r>
      <w:r w:rsidR="009A5424" w:rsidRPr="00724B87">
        <w:rPr>
          <w:rFonts w:ascii="Times New Roman" w:hAnsi="Times New Roman" w:cs="Times New Roman"/>
          <w:sz w:val="23"/>
          <w:szCs w:val="23"/>
        </w:rPr>
        <w:t>serão repassados nos mês subsequente</w:t>
      </w:r>
      <w:r w:rsidR="009E01D1" w:rsidRPr="00724B87">
        <w:rPr>
          <w:rFonts w:ascii="Times New Roman" w:hAnsi="Times New Roman" w:cs="Times New Roman"/>
          <w:sz w:val="23"/>
          <w:szCs w:val="23"/>
        </w:rPr>
        <w:t>.</w:t>
      </w:r>
    </w:p>
    <w:p w14:paraId="2F3E7B2E" w14:textId="35D4552C" w:rsidR="009E01D1" w:rsidRPr="00724B87" w:rsidRDefault="009E01D1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0083E318" w14:textId="77777777" w:rsidR="00CF1A64" w:rsidRPr="00724B87" w:rsidRDefault="00A450EF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bookmarkStart w:id="1" w:name="a2"/>
      <w:bookmarkEnd w:id="1"/>
      <w:r w:rsidRPr="00724B87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  <w:t>Art. 2º</w:t>
      </w:r>
      <w:r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 Esta lei se aplica aos honorários fixados a partir da entrada em vigor do Novo Código de Processo Civil - </w:t>
      </w:r>
      <w:hyperlink r:id="rId6" w:history="1">
        <w:r w:rsidRPr="00724B87">
          <w:rPr>
            <w:rFonts w:ascii="Times New Roman" w:eastAsia="Times New Roman" w:hAnsi="Times New Roman" w:cs="Times New Roman"/>
            <w:noProof w:val="0"/>
            <w:color w:val="000000" w:themeColor="text1"/>
            <w:kern w:val="0"/>
            <w:sz w:val="23"/>
            <w:szCs w:val="23"/>
            <w:lang w:eastAsia="pt-BR"/>
            <w14:ligatures w14:val="none"/>
          </w:rPr>
          <w:t>Lei 13.105/2015</w:t>
        </w:r>
      </w:hyperlink>
      <w:r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, ou seja, desde 18 de março de 2016.</w:t>
      </w:r>
    </w:p>
    <w:p w14:paraId="480958EB" w14:textId="5EABD1E1" w:rsidR="00A450EF" w:rsidRPr="00724B87" w:rsidRDefault="00A450EF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bookmarkStart w:id="2" w:name="a3"/>
      <w:bookmarkEnd w:id="2"/>
    </w:p>
    <w:p w14:paraId="0403D72B" w14:textId="4B6D9AA3" w:rsidR="00CF1A64" w:rsidRPr="00724B87" w:rsidRDefault="00A450EF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r w:rsidRPr="00724B87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  <w:t>Art. 3º</w:t>
      </w:r>
      <w:r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 A execução dos honorários será realizada em nome do Fundo Municipal de Previdência Social dos Servidores de Sorriso</w:t>
      </w:r>
      <w:r w:rsidR="008E00DA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-</w:t>
      </w:r>
      <w:r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MT - PREVISO e rateada conforme disposto no </w:t>
      </w:r>
      <w:r w:rsidR="004E4B82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§ 1º do art. </w:t>
      </w:r>
      <w:r w:rsidR="0014619D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1º desta Lei.</w:t>
      </w:r>
    </w:p>
    <w:p w14:paraId="739E8538" w14:textId="3B1E61AA" w:rsidR="00A075DD" w:rsidRPr="00724B87" w:rsidRDefault="00A075DD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bookmarkStart w:id="3" w:name="a4"/>
      <w:bookmarkStart w:id="4" w:name="a5"/>
      <w:bookmarkEnd w:id="3"/>
      <w:bookmarkEnd w:id="4"/>
    </w:p>
    <w:p w14:paraId="6C54991F" w14:textId="4F61BD0D" w:rsidR="00CF1A64" w:rsidRPr="00724B87" w:rsidRDefault="00A450EF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r w:rsidRPr="00724B87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  <w:t>Art. 4º</w:t>
      </w:r>
      <w:r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 As despesas decorrentes da execução desta Lei correm à conta das dotações próprias do orçamento em vigor.</w:t>
      </w:r>
    </w:p>
    <w:p w14:paraId="27F69E29" w14:textId="5C0D7AF7" w:rsidR="00A075DD" w:rsidRPr="00724B87" w:rsidRDefault="00A075DD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bookmarkStart w:id="5" w:name="a6"/>
      <w:bookmarkEnd w:id="5"/>
    </w:p>
    <w:p w14:paraId="6A30C2DA" w14:textId="5E21F5B9" w:rsidR="00A450EF" w:rsidRPr="00724B87" w:rsidRDefault="00A450EF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r w:rsidRPr="00724B87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  <w:t>Art. 5º</w:t>
      </w:r>
      <w:r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 Esta Lei entra em vigor na data de sua publicação</w:t>
      </w:r>
      <w:r w:rsidR="00A075DD"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.</w:t>
      </w:r>
    </w:p>
    <w:p w14:paraId="4D089AA8" w14:textId="6B82751A" w:rsidR="004B07EC" w:rsidRDefault="004B07EC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06D36826" w14:textId="77777777" w:rsidR="00724B87" w:rsidRPr="00724B87" w:rsidRDefault="00724B87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1A94B178" w14:textId="12B0CD79" w:rsidR="00A075DD" w:rsidRPr="00724B87" w:rsidRDefault="00A075DD" w:rsidP="00A075D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r w:rsidRPr="00724B87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Sorriso, Estado de Mato Grosso, em </w:t>
      </w:r>
    </w:p>
    <w:p w14:paraId="78F1B508" w14:textId="20E07672" w:rsidR="00925444" w:rsidRPr="00724B87" w:rsidRDefault="00925444" w:rsidP="00A075D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2DADD3B" w14:textId="77777777" w:rsidR="00925444" w:rsidRPr="009A5424" w:rsidRDefault="00925444" w:rsidP="00A075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412C" w14:textId="7C4CA1A8" w:rsidR="00925444" w:rsidRPr="00A075DD" w:rsidRDefault="00A075DD" w:rsidP="00A075D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75DD">
        <w:rPr>
          <w:rFonts w:ascii="Times New Roman" w:hAnsi="Times New Roman" w:cs="Times New Roman"/>
          <w:i/>
          <w:sz w:val="20"/>
          <w:szCs w:val="20"/>
        </w:rPr>
        <w:t>Assinatura Digital</w:t>
      </w:r>
    </w:p>
    <w:p w14:paraId="29E9C6BD" w14:textId="7152F7A8" w:rsidR="004702CD" w:rsidRPr="009A5424" w:rsidRDefault="004702CD" w:rsidP="00A075D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A5424">
        <w:rPr>
          <w:rFonts w:ascii="Times New Roman" w:hAnsi="Times New Roman" w:cs="Times New Roman"/>
          <w:b/>
          <w:bCs/>
          <w:caps/>
          <w:sz w:val="24"/>
          <w:szCs w:val="24"/>
        </w:rPr>
        <w:t>a</w:t>
      </w:r>
      <w:r w:rsidR="004B07EC">
        <w:rPr>
          <w:rFonts w:ascii="Times New Roman" w:hAnsi="Times New Roman" w:cs="Times New Roman"/>
          <w:b/>
          <w:bCs/>
          <w:caps/>
          <w:sz w:val="24"/>
          <w:szCs w:val="24"/>
        </w:rPr>
        <w:t>LEI FERNANDES</w:t>
      </w:r>
    </w:p>
    <w:p w14:paraId="5E484ED4" w14:textId="075CC01F" w:rsidR="00DE5AA6" w:rsidRDefault="002033EB" w:rsidP="00A075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424">
        <w:rPr>
          <w:rFonts w:ascii="Times New Roman" w:hAnsi="Times New Roman" w:cs="Times New Roman"/>
          <w:sz w:val="24"/>
          <w:szCs w:val="24"/>
        </w:rPr>
        <w:t>Prefeito Municipal</w:t>
      </w:r>
    </w:p>
    <w:p w14:paraId="456491FC" w14:textId="77777777" w:rsidR="008179CB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2C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MENSAGEM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PLO </w:t>
      </w:r>
      <w:r w:rsidRPr="003222CE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º 021/</w:t>
      </w:r>
      <w:r w:rsidRPr="003222CE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E415D45" w14:textId="77777777" w:rsidR="008179CB" w:rsidRPr="003222CE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3E90B" w14:textId="77777777" w:rsidR="008179CB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0480D" w14:textId="77777777" w:rsidR="008179CB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8FAB5" w14:textId="77777777" w:rsidR="008179CB" w:rsidRPr="003222CE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6BF62" w14:textId="77777777" w:rsidR="008179CB" w:rsidRPr="003222CE" w:rsidRDefault="008179CB" w:rsidP="008179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2CE">
        <w:rPr>
          <w:rFonts w:ascii="Times New Roman" w:hAnsi="Times New Roman" w:cs="Times New Roman"/>
          <w:sz w:val="24"/>
          <w:szCs w:val="24"/>
          <w:shd w:val="clear" w:color="auto" w:fill="FFFFFF"/>
        </w:rPr>
        <w:t>Senhor Presidente,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22CE">
        <w:rPr>
          <w:rFonts w:ascii="Times New Roman" w:hAnsi="Times New Roman" w:cs="Times New Roman"/>
          <w:sz w:val="24"/>
          <w:szCs w:val="24"/>
          <w:shd w:val="clear" w:color="auto" w:fill="FFFFFF"/>
        </w:rPr>
        <w:t>Vereadores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Vereadoras,</w:t>
      </w:r>
    </w:p>
    <w:p w14:paraId="57A8CCF8" w14:textId="77777777" w:rsidR="008179CB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CC330B" w14:textId="77777777" w:rsidR="008179CB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CEE485" w14:textId="77777777" w:rsidR="008179CB" w:rsidRPr="003222CE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218CA6" w14:textId="77777777" w:rsidR="008179CB" w:rsidRPr="003222CE" w:rsidRDefault="008179CB" w:rsidP="008179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22CE">
        <w:rPr>
          <w:rFonts w:ascii="Times New Roman" w:hAnsi="Times New Roman" w:cs="Times New Roman"/>
          <w:sz w:val="24"/>
          <w:szCs w:val="24"/>
        </w:rPr>
        <w:t>Trata-se de Projeto de Lei que visa atender a legislação, conforme determina o Novo Código de Processo Civil, Lei nº 13.105, de 16 de março de 2015, que em seu artigo 85, dispõe que:</w:t>
      </w:r>
    </w:p>
    <w:p w14:paraId="271D8DFA" w14:textId="77777777" w:rsidR="008179CB" w:rsidRPr="003222CE" w:rsidRDefault="008179CB" w:rsidP="008179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22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C8936" w14:textId="77777777" w:rsidR="008179CB" w:rsidRPr="003222CE" w:rsidRDefault="008179CB" w:rsidP="008179CB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222CE">
        <w:rPr>
          <w:rFonts w:ascii="Times New Roman" w:hAnsi="Times New Roman" w:cs="Times New Roman"/>
          <w:sz w:val="24"/>
          <w:szCs w:val="24"/>
        </w:rPr>
        <w:t xml:space="preserve">“Art. 85. A sentença condenará o vencido a pagar honorários ao advogado do vencedor (...) § 19. Os advogados públicos perceberão honorários de sucumbência, nos termos da Lei.” </w:t>
      </w:r>
    </w:p>
    <w:p w14:paraId="2E88AAD8" w14:textId="77777777" w:rsidR="008179CB" w:rsidRPr="003222CE" w:rsidRDefault="008179CB" w:rsidP="008179CB">
      <w:pPr>
        <w:spacing w:after="0" w:line="240" w:lineRule="auto"/>
        <w:ind w:left="170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0EEC39" w14:textId="77777777" w:rsidR="008179CB" w:rsidRPr="003222CE" w:rsidRDefault="008179CB" w:rsidP="008179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22CE">
        <w:rPr>
          <w:rFonts w:ascii="Times New Roman" w:hAnsi="Times New Roman" w:cs="Times New Roman"/>
          <w:sz w:val="24"/>
          <w:szCs w:val="24"/>
        </w:rPr>
        <w:t xml:space="preserve">Cumpre salientar que os honorários advocatícios de sucumbência constituem direito dos advogados públicos, conforme disposição expressa do Estatuto da Ordem dos Advogados do Brasil – Lei 8.906, de 04 de julho de 1994, que assim dispõe em seus artigos, in verbis: </w:t>
      </w:r>
    </w:p>
    <w:p w14:paraId="738912AE" w14:textId="77777777" w:rsidR="008179CB" w:rsidRPr="003222CE" w:rsidRDefault="008179CB" w:rsidP="008179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9EA474" w14:textId="77777777" w:rsidR="008179CB" w:rsidRPr="004B07EC" w:rsidRDefault="008179CB" w:rsidP="008179CB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4B07EC">
        <w:rPr>
          <w:rFonts w:ascii="Times New Roman" w:hAnsi="Times New Roman" w:cs="Times New Roman"/>
        </w:rPr>
        <w:t xml:space="preserve">“Art. 3º. O exercício da atividade de advocacia no território brasileiro e a denominação de advogado são privativos dos inscritos na Ordem dos Advogados do Brasil (OAB). </w:t>
      </w:r>
    </w:p>
    <w:p w14:paraId="1D17F11A" w14:textId="77777777" w:rsidR="008179CB" w:rsidRPr="004B07EC" w:rsidRDefault="008179CB" w:rsidP="008179CB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4B07EC">
        <w:rPr>
          <w:rFonts w:ascii="Times New Roman" w:hAnsi="Times New Roman" w:cs="Times New Roman"/>
        </w:rPr>
        <w:t>§ 1º Exercem atividade de advocacia, sujeitando-se ao regime desta lei, além do regime próprio a que se subordinem, os integrantes da Advocacia-Geral da União, da Procuradoria da Fazenda Nacional, da Defensoria Pública e das Procuradorias e Consultorias Jurídicas dos Estados, do Distrito Federal, dos Municípios e das respectivas entidades de administração indireta e fundacional. (Grifos nossos)”</w:t>
      </w:r>
    </w:p>
    <w:p w14:paraId="3A8928C5" w14:textId="77777777" w:rsidR="008179CB" w:rsidRPr="004B07EC" w:rsidRDefault="008179CB" w:rsidP="008179CB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4B07EC">
        <w:rPr>
          <w:rFonts w:ascii="Times New Roman" w:hAnsi="Times New Roman" w:cs="Times New Roman"/>
        </w:rPr>
        <w:t>“Art. 22. A prestação de serviço profissional assegura aos inscritos na OAB o direito aos honorários convencionados, aos fixados por arbitramento judicial e aos de sucumbência.”</w:t>
      </w:r>
    </w:p>
    <w:p w14:paraId="3AEDDB7E" w14:textId="77777777" w:rsidR="008179CB" w:rsidRPr="004B07EC" w:rsidRDefault="008179CB" w:rsidP="008179CB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4B07EC">
        <w:rPr>
          <w:rFonts w:ascii="Times New Roman" w:hAnsi="Times New Roman" w:cs="Times New Roman"/>
        </w:rPr>
        <w:t>“Art. 23. Os honorários incluídos na condenação, por arbitramento ou sucumbência, pertencem ao advogado, tendo este direito autônomo para executar a sentença nesta parte, podendo requerer que o precatório, quando necessário, seja expedido em seu favor.”</w:t>
      </w:r>
    </w:p>
    <w:p w14:paraId="520A4704" w14:textId="77777777" w:rsidR="008179CB" w:rsidRPr="004B07EC" w:rsidRDefault="008179CB" w:rsidP="008179CB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4B07EC">
        <w:rPr>
          <w:rFonts w:ascii="Times New Roman" w:hAnsi="Times New Roman" w:cs="Times New Roman"/>
        </w:rPr>
        <w:t xml:space="preserve">“Art. 24. [...] § 3º É nula qualquer disposição, cláusula, regulamento ou convenção individual ou coletiva que retire do advogado o direito ao recebimento dos honorários de sucumbência.” </w:t>
      </w:r>
    </w:p>
    <w:p w14:paraId="6F5340E9" w14:textId="77777777" w:rsidR="008179CB" w:rsidRPr="003222CE" w:rsidRDefault="008179CB" w:rsidP="008179C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67EE3064" w14:textId="77777777" w:rsidR="008179CB" w:rsidRPr="003222CE" w:rsidRDefault="008179CB" w:rsidP="008179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22CE">
        <w:rPr>
          <w:rFonts w:ascii="Times New Roman" w:hAnsi="Times New Roman" w:cs="Times New Roman"/>
          <w:sz w:val="24"/>
          <w:szCs w:val="24"/>
        </w:rPr>
        <w:t>Conforme a legislação supra descrita o recebimento dos honorários de sucumbência configura-se em direito e prerrogativa dos advogados. É preciso esclarecer ainda, que os honorários de sucumbência serão pagos única e exclusivamente pela parte sucumbente não constituindo quaisquer encargos ao tesouro municipal, de modo que a presente Lei não importará em nenhuma despesa aos cofres públicos. Aliás, o Conselho Federal da Ordem dos Advogados do Brasil já possui entendimento consolidado sobre a matéria em questão, conforme se verifica no verbete transcrito:</w:t>
      </w:r>
    </w:p>
    <w:p w14:paraId="37C34F02" w14:textId="77777777" w:rsidR="008179CB" w:rsidRPr="003222CE" w:rsidRDefault="008179CB" w:rsidP="008179C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222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AE208" w14:textId="77777777" w:rsidR="008179CB" w:rsidRPr="004B07EC" w:rsidRDefault="008179CB" w:rsidP="008179CB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4B07EC">
        <w:rPr>
          <w:rFonts w:ascii="Times New Roman" w:hAnsi="Times New Roman" w:cs="Times New Roman"/>
        </w:rPr>
        <w:t xml:space="preserve">“Súmula nº 08 – Os honorários constituem direito autônomo do advogado, seja ele público ou privado. A apropriação dos valores pagos a título de honorários sucumbenciais como se fosse verba pública pelos Entes Federados configura apropriação indevida” </w:t>
      </w:r>
    </w:p>
    <w:p w14:paraId="4E7E32BC" w14:textId="77777777" w:rsidR="008179CB" w:rsidRPr="003222CE" w:rsidRDefault="008179CB" w:rsidP="008179C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5A6D2A5D" w14:textId="77777777" w:rsidR="008179CB" w:rsidRPr="003222CE" w:rsidRDefault="008179CB" w:rsidP="008179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22CE">
        <w:rPr>
          <w:rFonts w:ascii="Times New Roman" w:hAnsi="Times New Roman" w:cs="Times New Roman"/>
          <w:sz w:val="24"/>
          <w:szCs w:val="24"/>
        </w:rPr>
        <w:t xml:space="preserve">No mesmo sentido o STF, em recente julgamento, considerou constitucional o pagamento de honorários sucumbenciais aos advogados públicos, observando-se, porém, o limite remuneratório previsto no art. 37, XI, da Constituição. </w:t>
      </w:r>
    </w:p>
    <w:p w14:paraId="28FF2A59" w14:textId="77777777" w:rsidR="008179CB" w:rsidRPr="003222CE" w:rsidRDefault="008179CB" w:rsidP="008179C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222CE">
        <w:rPr>
          <w:rFonts w:ascii="Times New Roman" w:hAnsi="Times New Roman" w:cs="Times New Roman"/>
        </w:rPr>
        <w:t>Nesse sentido:</w:t>
      </w:r>
    </w:p>
    <w:p w14:paraId="600855C6" w14:textId="77777777" w:rsidR="008179CB" w:rsidRPr="003222CE" w:rsidRDefault="008179CB" w:rsidP="008179CB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3222CE">
        <w:rPr>
          <w:rFonts w:ascii="Times New Roman" w:hAnsi="Times New Roman" w:cs="Times New Roman"/>
        </w:rPr>
        <w:lastRenderedPageBreak/>
        <w:t xml:space="preserve">Ementa: Direito Administrativo e Constitucional. Ação direta de inconstitucionalidade. Recebimento de honorários sucumbenciais por advogados públicos. Procedência parcial. 1. Ação direta em que se discute a constitucionalidade dos arts. 10, XII; 49, § 2º, V; 90-A e 90- B da Lei Complementar Estadual nº 56/2005, e do art. 4º da Lei Complementar Estadual nº 201/2014, ambas do Estado do Piauí, que disciplinam o pagamento de honorários sucumbenciais aos Procuradores do Estado. 2. Em recente decisão, proferida em caso análogo à presente ação, o Plenário do Supremo Tribunal firmou os seguintes entendimentos: (i) o pagamento de honorários sucumbenciais aos advogados públicos é constitucional; (ii) o recebimento da verba é compatível com o regime de subsídios, nos termos do art. 39, § 4º, da Constituição; e (iii) os honorários sucumbenciais, somados às demais verbas remuneratórias, devem estar limitados ao teto constitucional disposto no art. 37, XI, da Constituição (ADIs 6165, 6178, 6181, 6197, Rel. Min. Alexandre de Moraes, e ADI 6053, Rel. para acórdão Min. Alexandre de Moraes, julgadas na Sessão Virtual de 12.06.2020 a 19.06.2020). 3. Ação direta julgada parcialmente procedente, com a fixação da seguinte tese: “É constitucional o pagamento de honorários sucumbenciais aos advogados públicos, observando-se, porém, o limite remuneratório previsto no art. 37, XI, da Constituição”. (ADI 6159, Relator(a): ROBERTO BARROSO, Tribunal Pleno, julgado em 24/08/2020, PROCESSO ELETRÔNICO DJe-279 DIVULG 24-11-2020 PUBLIC 25-11- 2020) </w:t>
      </w:r>
    </w:p>
    <w:p w14:paraId="3ACF64AC" w14:textId="77777777" w:rsidR="008179CB" w:rsidRPr="003222CE" w:rsidRDefault="008179CB" w:rsidP="008179C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155E8DC" w14:textId="77777777" w:rsidR="008179CB" w:rsidRDefault="008179CB" w:rsidP="008179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22CE">
        <w:rPr>
          <w:rFonts w:ascii="Times New Roman" w:hAnsi="Times New Roman" w:cs="Times New Roman"/>
          <w:sz w:val="24"/>
          <w:szCs w:val="24"/>
        </w:rPr>
        <w:t xml:space="preserve">Desse modo, embasado na legislação, o presente projeto de Lei, encaminhado a Vossas Senhorias permite o recebimento dos honorários de sucumbência recebidos em decorrência de ações judiciais que envolvem o FUNDO MUNICIPAL DE PREVIDÊNCIA SOCIAL DOS SERVIDORES DE SORRISO/MT - PREVISO, ao advogado público, no legítimo exercício de suas funções. Por fim, frisa-se que uma advocacia pública forte significa que a sociedade terá uma melhor defesa do seu patrimônio. </w:t>
      </w:r>
    </w:p>
    <w:p w14:paraId="17D3199D" w14:textId="77777777" w:rsidR="008179CB" w:rsidRDefault="008179CB" w:rsidP="008179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8A5FC6" w14:textId="77777777" w:rsidR="008179CB" w:rsidRPr="003222CE" w:rsidRDefault="008179CB" w:rsidP="008179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ao exposto, encaminhamos o Projeto de Lei anexo, para o qual solicitamos a apreciação e aprovação com o zelo de costume.</w:t>
      </w:r>
    </w:p>
    <w:p w14:paraId="0F88EA34" w14:textId="77777777" w:rsidR="008179CB" w:rsidRPr="003222CE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D7402" w14:textId="77777777" w:rsidR="008179CB" w:rsidRPr="003222CE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81D28" w14:textId="77777777" w:rsidR="008179CB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37CB8" w14:textId="77777777" w:rsidR="008179CB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47BFB" w14:textId="77777777" w:rsidR="008179CB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51D8D" w14:textId="77777777" w:rsidR="008179CB" w:rsidRPr="003222CE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BB477" w14:textId="77777777" w:rsidR="008179CB" w:rsidRPr="003222CE" w:rsidRDefault="008179CB" w:rsidP="008179C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222CE">
        <w:rPr>
          <w:rFonts w:ascii="Times New Roman" w:hAnsi="Times New Roman" w:cs="Times New Roman"/>
          <w:i/>
          <w:sz w:val="20"/>
          <w:szCs w:val="20"/>
        </w:rPr>
        <w:t>Assinatura Digital</w:t>
      </w:r>
    </w:p>
    <w:p w14:paraId="38671804" w14:textId="77777777" w:rsidR="008179CB" w:rsidRPr="003222CE" w:rsidRDefault="008179CB" w:rsidP="008179C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222CE">
        <w:rPr>
          <w:rFonts w:ascii="Times New Roman" w:hAnsi="Times New Roman" w:cs="Times New Roman"/>
          <w:b/>
          <w:bCs/>
          <w:cap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LEI FERNANDES</w:t>
      </w:r>
    </w:p>
    <w:p w14:paraId="661122AC" w14:textId="77777777" w:rsidR="008179CB" w:rsidRPr="003222CE" w:rsidRDefault="008179CB" w:rsidP="00817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2CE">
        <w:rPr>
          <w:rFonts w:ascii="Times New Roman" w:hAnsi="Times New Roman" w:cs="Times New Roman"/>
          <w:sz w:val="24"/>
          <w:szCs w:val="24"/>
        </w:rPr>
        <w:t>Prefeito Municipal</w:t>
      </w:r>
    </w:p>
    <w:p w14:paraId="3A6C1CCB" w14:textId="77777777" w:rsidR="008179CB" w:rsidRPr="003222CE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95855" w14:textId="77777777" w:rsidR="008179CB" w:rsidRPr="003222CE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EA4BE" w14:textId="77777777" w:rsidR="008179CB" w:rsidRPr="003222CE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3147E" w14:textId="77777777" w:rsidR="008179CB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60F32" w14:textId="77777777" w:rsidR="008179CB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1E0E3" w14:textId="77777777" w:rsidR="008179CB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D1145" w14:textId="77777777" w:rsidR="008179CB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C75BC" w14:textId="77777777" w:rsidR="008179CB" w:rsidRPr="003222CE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D75E8" w14:textId="77777777" w:rsidR="008179CB" w:rsidRPr="003222CE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2CE">
        <w:rPr>
          <w:rFonts w:ascii="Times New Roman" w:hAnsi="Times New Roman" w:cs="Times New Roman"/>
          <w:sz w:val="24"/>
          <w:szCs w:val="24"/>
        </w:rPr>
        <w:t>A Sua Excelência o Senhor</w:t>
      </w:r>
    </w:p>
    <w:p w14:paraId="41E0F922" w14:textId="77777777" w:rsidR="008179CB" w:rsidRPr="004B07EC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B07EC">
        <w:rPr>
          <w:rFonts w:ascii="Times New Roman" w:hAnsi="Times New Roman" w:cs="Times New Roman"/>
          <w:b/>
          <w:sz w:val="24"/>
          <w:szCs w:val="24"/>
        </w:rPr>
        <w:t>RODRIGO DESORDI FERNANDES</w:t>
      </w:r>
    </w:p>
    <w:p w14:paraId="6EC25B80" w14:textId="77777777" w:rsidR="008179CB" w:rsidRPr="003222CE" w:rsidRDefault="008179CB" w:rsidP="0081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2CE">
        <w:rPr>
          <w:rFonts w:ascii="Times New Roman" w:hAnsi="Times New Roman" w:cs="Times New Roman"/>
          <w:sz w:val="24"/>
          <w:szCs w:val="24"/>
          <w:shd w:val="clear" w:color="auto" w:fill="FFFFFF"/>
        </w:rPr>
        <w:t>Presidente da Câmara Municipal de Sorriso</w:t>
      </w:r>
    </w:p>
    <w:p w14:paraId="2D94ED69" w14:textId="77777777" w:rsidR="008179CB" w:rsidRPr="009A5424" w:rsidRDefault="008179CB" w:rsidP="00A075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179CB" w:rsidRPr="009A5424" w:rsidSect="00724B87">
      <w:pgSz w:w="11906" w:h="16838"/>
      <w:pgMar w:top="2835" w:right="849" w:bottom="567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85CF" w14:textId="77777777" w:rsidR="00C239C5" w:rsidRDefault="00C239C5" w:rsidP="00D7180A">
      <w:pPr>
        <w:spacing w:after="0" w:line="240" w:lineRule="auto"/>
      </w:pPr>
      <w:r>
        <w:separator/>
      </w:r>
    </w:p>
  </w:endnote>
  <w:endnote w:type="continuationSeparator" w:id="0">
    <w:p w14:paraId="3ED62AF3" w14:textId="77777777" w:rsidR="00C239C5" w:rsidRDefault="00C239C5" w:rsidP="00D7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837B" w14:textId="77777777" w:rsidR="00C239C5" w:rsidRDefault="00C239C5" w:rsidP="00D7180A">
      <w:pPr>
        <w:spacing w:after="0" w:line="240" w:lineRule="auto"/>
      </w:pPr>
      <w:r>
        <w:separator/>
      </w:r>
    </w:p>
  </w:footnote>
  <w:footnote w:type="continuationSeparator" w:id="0">
    <w:p w14:paraId="06582760" w14:textId="77777777" w:rsidR="00C239C5" w:rsidRDefault="00C239C5" w:rsidP="00D71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0A"/>
    <w:rsid w:val="000272A7"/>
    <w:rsid w:val="000532D3"/>
    <w:rsid w:val="000549E4"/>
    <w:rsid w:val="00077D09"/>
    <w:rsid w:val="000B348A"/>
    <w:rsid w:val="000C5B97"/>
    <w:rsid w:val="000C62CB"/>
    <w:rsid w:val="000C7328"/>
    <w:rsid w:val="000F4E20"/>
    <w:rsid w:val="00105EDD"/>
    <w:rsid w:val="0011047B"/>
    <w:rsid w:val="001115A6"/>
    <w:rsid w:val="0013451D"/>
    <w:rsid w:val="00137F9D"/>
    <w:rsid w:val="001441C4"/>
    <w:rsid w:val="0014619D"/>
    <w:rsid w:val="00175134"/>
    <w:rsid w:val="001879F2"/>
    <w:rsid w:val="001B06CF"/>
    <w:rsid w:val="001D5EDF"/>
    <w:rsid w:val="001E1AD8"/>
    <w:rsid w:val="002033EB"/>
    <w:rsid w:val="00205418"/>
    <w:rsid w:val="00217F52"/>
    <w:rsid w:val="00236FED"/>
    <w:rsid w:val="002551A8"/>
    <w:rsid w:val="00256ED2"/>
    <w:rsid w:val="00271D96"/>
    <w:rsid w:val="002A27E7"/>
    <w:rsid w:val="002A46B8"/>
    <w:rsid w:val="002B1EEC"/>
    <w:rsid w:val="002C3228"/>
    <w:rsid w:val="00313FB8"/>
    <w:rsid w:val="00320A82"/>
    <w:rsid w:val="003222CE"/>
    <w:rsid w:val="00324FF4"/>
    <w:rsid w:val="0032551A"/>
    <w:rsid w:val="0035689B"/>
    <w:rsid w:val="00356F42"/>
    <w:rsid w:val="0036759E"/>
    <w:rsid w:val="003867D0"/>
    <w:rsid w:val="00394E0E"/>
    <w:rsid w:val="003A76B9"/>
    <w:rsid w:val="003B7B36"/>
    <w:rsid w:val="003D1FDA"/>
    <w:rsid w:val="003E3EF3"/>
    <w:rsid w:val="003F0E63"/>
    <w:rsid w:val="00403790"/>
    <w:rsid w:val="0045355A"/>
    <w:rsid w:val="004550C2"/>
    <w:rsid w:val="004702CD"/>
    <w:rsid w:val="004944CD"/>
    <w:rsid w:val="004B07EC"/>
    <w:rsid w:val="004B4861"/>
    <w:rsid w:val="004C2FE1"/>
    <w:rsid w:val="004C712C"/>
    <w:rsid w:val="004E01B1"/>
    <w:rsid w:val="004E1429"/>
    <w:rsid w:val="004E2427"/>
    <w:rsid w:val="004E4B82"/>
    <w:rsid w:val="0051034D"/>
    <w:rsid w:val="00535E54"/>
    <w:rsid w:val="00537BAB"/>
    <w:rsid w:val="0055239E"/>
    <w:rsid w:val="0055382A"/>
    <w:rsid w:val="00582196"/>
    <w:rsid w:val="005832E1"/>
    <w:rsid w:val="0058411C"/>
    <w:rsid w:val="00591C8D"/>
    <w:rsid w:val="005C7A11"/>
    <w:rsid w:val="005D340D"/>
    <w:rsid w:val="005E3BD9"/>
    <w:rsid w:val="005F0E75"/>
    <w:rsid w:val="00641F6E"/>
    <w:rsid w:val="00664659"/>
    <w:rsid w:val="006650C7"/>
    <w:rsid w:val="00665CE5"/>
    <w:rsid w:val="006730FF"/>
    <w:rsid w:val="0067482E"/>
    <w:rsid w:val="00674DB1"/>
    <w:rsid w:val="006919DC"/>
    <w:rsid w:val="006A4038"/>
    <w:rsid w:val="006A51A4"/>
    <w:rsid w:val="006A5825"/>
    <w:rsid w:val="006A58D7"/>
    <w:rsid w:val="006C6D6F"/>
    <w:rsid w:val="006E2909"/>
    <w:rsid w:val="006E4C25"/>
    <w:rsid w:val="006F6B5B"/>
    <w:rsid w:val="00713597"/>
    <w:rsid w:val="00724B87"/>
    <w:rsid w:val="00725270"/>
    <w:rsid w:val="007718D4"/>
    <w:rsid w:val="00773179"/>
    <w:rsid w:val="00781165"/>
    <w:rsid w:val="0079397E"/>
    <w:rsid w:val="007D03BB"/>
    <w:rsid w:val="007E5E10"/>
    <w:rsid w:val="007F5D65"/>
    <w:rsid w:val="008026A2"/>
    <w:rsid w:val="00807987"/>
    <w:rsid w:val="0081368E"/>
    <w:rsid w:val="008179CB"/>
    <w:rsid w:val="00874BAB"/>
    <w:rsid w:val="008A18F6"/>
    <w:rsid w:val="008C0424"/>
    <w:rsid w:val="008C5CF0"/>
    <w:rsid w:val="008C64EC"/>
    <w:rsid w:val="008C73DD"/>
    <w:rsid w:val="008E00DA"/>
    <w:rsid w:val="0090676D"/>
    <w:rsid w:val="00911965"/>
    <w:rsid w:val="00912E8F"/>
    <w:rsid w:val="00914878"/>
    <w:rsid w:val="00915C32"/>
    <w:rsid w:val="00925444"/>
    <w:rsid w:val="00936B89"/>
    <w:rsid w:val="00943303"/>
    <w:rsid w:val="0094711E"/>
    <w:rsid w:val="009542D1"/>
    <w:rsid w:val="00962BEA"/>
    <w:rsid w:val="0099443B"/>
    <w:rsid w:val="009A5424"/>
    <w:rsid w:val="009B0B30"/>
    <w:rsid w:val="009C5EDE"/>
    <w:rsid w:val="009E01D1"/>
    <w:rsid w:val="00A0007D"/>
    <w:rsid w:val="00A04AA2"/>
    <w:rsid w:val="00A06E7D"/>
    <w:rsid w:val="00A075DD"/>
    <w:rsid w:val="00A07DC9"/>
    <w:rsid w:val="00A11BC5"/>
    <w:rsid w:val="00A14603"/>
    <w:rsid w:val="00A25758"/>
    <w:rsid w:val="00A25886"/>
    <w:rsid w:val="00A30223"/>
    <w:rsid w:val="00A37E85"/>
    <w:rsid w:val="00A450EF"/>
    <w:rsid w:val="00A73FFB"/>
    <w:rsid w:val="00AC2983"/>
    <w:rsid w:val="00AC6DC6"/>
    <w:rsid w:val="00AE09E9"/>
    <w:rsid w:val="00AE16A1"/>
    <w:rsid w:val="00B15841"/>
    <w:rsid w:val="00B22E02"/>
    <w:rsid w:val="00B40AE4"/>
    <w:rsid w:val="00B71EA5"/>
    <w:rsid w:val="00B85414"/>
    <w:rsid w:val="00B85C95"/>
    <w:rsid w:val="00B95B9B"/>
    <w:rsid w:val="00BE3804"/>
    <w:rsid w:val="00BE5384"/>
    <w:rsid w:val="00BF1EE0"/>
    <w:rsid w:val="00C12387"/>
    <w:rsid w:val="00C239C5"/>
    <w:rsid w:val="00C3004D"/>
    <w:rsid w:val="00C340A8"/>
    <w:rsid w:val="00C44500"/>
    <w:rsid w:val="00C55B6D"/>
    <w:rsid w:val="00C62E4B"/>
    <w:rsid w:val="00C74BD7"/>
    <w:rsid w:val="00C8278D"/>
    <w:rsid w:val="00CB0DD8"/>
    <w:rsid w:val="00CB4C52"/>
    <w:rsid w:val="00CD2D8F"/>
    <w:rsid w:val="00CE1141"/>
    <w:rsid w:val="00CE3D47"/>
    <w:rsid w:val="00CF1A64"/>
    <w:rsid w:val="00D025C9"/>
    <w:rsid w:val="00D10D9F"/>
    <w:rsid w:val="00D16CA6"/>
    <w:rsid w:val="00D330FF"/>
    <w:rsid w:val="00D45104"/>
    <w:rsid w:val="00D47BFD"/>
    <w:rsid w:val="00D55134"/>
    <w:rsid w:val="00D7180A"/>
    <w:rsid w:val="00D8081E"/>
    <w:rsid w:val="00D815A7"/>
    <w:rsid w:val="00D9275B"/>
    <w:rsid w:val="00D92A6F"/>
    <w:rsid w:val="00DB145D"/>
    <w:rsid w:val="00DB4802"/>
    <w:rsid w:val="00DD4FAF"/>
    <w:rsid w:val="00DD700F"/>
    <w:rsid w:val="00DE280B"/>
    <w:rsid w:val="00DE5AA6"/>
    <w:rsid w:val="00E009BE"/>
    <w:rsid w:val="00E43CCE"/>
    <w:rsid w:val="00E6305E"/>
    <w:rsid w:val="00E666E0"/>
    <w:rsid w:val="00E66ECF"/>
    <w:rsid w:val="00E73915"/>
    <w:rsid w:val="00E772BF"/>
    <w:rsid w:val="00E800B4"/>
    <w:rsid w:val="00E816EB"/>
    <w:rsid w:val="00EA3A91"/>
    <w:rsid w:val="00EA3A95"/>
    <w:rsid w:val="00EB3EF0"/>
    <w:rsid w:val="00ED16A0"/>
    <w:rsid w:val="00EE15E8"/>
    <w:rsid w:val="00F9603F"/>
    <w:rsid w:val="00FA3F4D"/>
    <w:rsid w:val="00FA5637"/>
    <w:rsid w:val="00FB482B"/>
    <w:rsid w:val="00FB5A60"/>
    <w:rsid w:val="00FF01D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8A191"/>
  <w15:chartTrackingRefBased/>
  <w15:docId w15:val="{F2A18E16-7703-4776-94A4-52196F9B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1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80A"/>
    <w:rPr>
      <w:noProof/>
    </w:rPr>
  </w:style>
  <w:style w:type="paragraph" w:styleId="Rodap">
    <w:name w:val="footer"/>
    <w:basedOn w:val="Normal"/>
    <w:link w:val="RodapChar"/>
    <w:uiPriority w:val="99"/>
    <w:unhideWhenUsed/>
    <w:rsid w:val="00D71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80A"/>
    <w:rPr>
      <w:noProof/>
    </w:rPr>
  </w:style>
  <w:style w:type="character" w:styleId="Hyperlink">
    <w:name w:val="Hyperlink"/>
    <w:basedOn w:val="Fontepargpadro"/>
    <w:uiPriority w:val="99"/>
    <w:semiHidden/>
    <w:unhideWhenUsed/>
    <w:rsid w:val="00A45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6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66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478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5519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5-2018/2015/Lei/L13105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Raimundo Esteves</dc:creator>
  <cp:keywords/>
  <dc:description/>
  <cp:lastModifiedBy>Tec Ligislativo</cp:lastModifiedBy>
  <cp:revision>4</cp:revision>
  <cp:lastPrinted>2024-11-28T15:55:00Z</cp:lastPrinted>
  <dcterms:created xsi:type="dcterms:W3CDTF">2025-02-20T16:55:00Z</dcterms:created>
  <dcterms:modified xsi:type="dcterms:W3CDTF">2025-02-20T17:18:00Z</dcterms:modified>
</cp:coreProperties>
</file>