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4F6D960C" w:rsidR="00D264B9" w:rsidRPr="00946B57" w:rsidRDefault="00891239" w:rsidP="00946B5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  <w:r w:rsidRPr="00946B57">
        <w:rPr>
          <w:b/>
          <w:bCs/>
          <w:color w:val="000000"/>
          <w:sz w:val="22"/>
          <w:szCs w:val="22"/>
        </w:rPr>
        <w:t xml:space="preserve">REQUERIMENTO Nº </w:t>
      </w:r>
      <w:r w:rsidR="00946B57" w:rsidRPr="00946B57">
        <w:rPr>
          <w:b/>
          <w:bCs/>
          <w:color w:val="000000"/>
          <w:sz w:val="22"/>
          <w:szCs w:val="22"/>
        </w:rPr>
        <w:t>89/2025</w:t>
      </w:r>
    </w:p>
    <w:p w14:paraId="12F195BB" w14:textId="61E8B94B" w:rsidR="00D264B9" w:rsidRPr="00946B57" w:rsidRDefault="00D264B9" w:rsidP="00946B57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38196D0E" w14:textId="77777777" w:rsidR="00946B57" w:rsidRPr="00946B57" w:rsidRDefault="00946B57" w:rsidP="00946B57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6378D620" w14:textId="77777777" w:rsidR="00946B57" w:rsidRPr="00946B57" w:rsidRDefault="00946B57" w:rsidP="00946B57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73CF94EC" w14:textId="77777777" w:rsidR="00E6373F" w:rsidRPr="00946B57" w:rsidRDefault="00E6373F" w:rsidP="00946B57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4A42C734" w14:textId="3A222F70" w:rsidR="00D73E16" w:rsidRPr="00946B57" w:rsidRDefault="00E6373F" w:rsidP="00946B57">
      <w:pPr>
        <w:tabs>
          <w:tab w:val="left" w:pos="944"/>
          <w:tab w:val="left" w:pos="1418"/>
          <w:tab w:val="left" w:pos="1560"/>
          <w:tab w:val="left" w:pos="3402"/>
        </w:tabs>
        <w:ind w:firstLine="3402"/>
        <w:jc w:val="both"/>
        <w:rPr>
          <w:sz w:val="22"/>
          <w:szCs w:val="22"/>
        </w:rPr>
      </w:pPr>
      <w:proofErr w:type="spellStart"/>
      <w:r w:rsidRPr="00946B57">
        <w:rPr>
          <w:b/>
          <w:bCs/>
          <w:color w:val="000000"/>
          <w:sz w:val="22"/>
          <w:szCs w:val="22"/>
        </w:rPr>
        <w:t>PROFª</w:t>
      </w:r>
      <w:proofErr w:type="spellEnd"/>
      <w:r w:rsidRPr="00946B57">
        <w:rPr>
          <w:b/>
          <w:bCs/>
          <w:color w:val="000000"/>
          <w:sz w:val="22"/>
          <w:szCs w:val="22"/>
        </w:rPr>
        <w:t xml:space="preserve"> SILVANA PERIN – MDB </w:t>
      </w:r>
      <w:r w:rsidRPr="00946B57">
        <w:rPr>
          <w:bCs/>
          <w:color w:val="000000"/>
          <w:sz w:val="22"/>
          <w:szCs w:val="22"/>
        </w:rPr>
        <w:t>e vereadores abaixo assinados,</w:t>
      </w:r>
      <w:r w:rsidRPr="00946B57">
        <w:rPr>
          <w:b/>
          <w:bCs/>
          <w:color w:val="000000"/>
          <w:sz w:val="22"/>
          <w:szCs w:val="22"/>
        </w:rPr>
        <w:t xml:space="preserve"> </w:t>
      </w:r>
      <w:r w:rsidR="00891239" w:rsidRPr="00946B57">
        <w:rPr>
          <w:sz w:val="22"/>
          <w:szCs w:val="22"/>
        </w:rPr>
        <w:t xml:space="preserve">com assento nesta Casa, em conformidade com os </w:t>
      </w:r>
      <w:r w:rsidR="0035315E" w:rsidRPr="00946B57">
        <w:rPr>
          <w:sz w:val="22"/>
          <w:szCs w:val="22"/>
        </w:rPr>
        <w:t>A</w:t>
      </w:r>
      <w:r w:rsidRPr="00946B57">
        <w:rPr>
          <w:sz w:val="22"/>
          <w:szCs w:val="22"/>
        </w:rPr>
        <w:t>rts.</w:t>
      </w:r>
      <w:r w:rsidR="00891239" w:rsidRPr="00946B57">
        <w:rPr>
          <w:sz w:val="22"/>
          <w:szCs w:val="22"/>
        </w:rPr>
        <w:t xml:space="preserve"> 118 a 121 do Regimento Interno, </w:t>
      </w:r>
      <w:r w:rsidRPr="00946B57">
        <w:rPr>
          <w:sz w:val="22"/>
          <w:szCs w:val="22"/>
        </w:rPr>
        <w:t>REQUEREM</w:t>
      </w:r>
      <w:r w:rsidR="00891239" w:rsidRPr="00946B57">
        <w:rPr>
          <w:sz w:val="22"/>
          <w:szCs w:val="22"/>
        </w:rPr>
        <w:t xml:space="preserve"> à Mesa, que este Expediente seja encaminhado </w:t>
      </w:r>
      <w:r w:rsidR="00AD73A2" w:rsidRPr="00946B57">
        <w:rPr>
          <w:sz w:val="22"/>
          <w:szCs w:val="22"/>
        </w:rPr>
        <w:t>à Empresa Energisa Mato Grosso</w:t>
      </w:r>
      <w:r w:rsidR="00891239" w:rsidRPr="00946B57">
        <w:rPr>
          <w:sz w:val="22"/>
          <w:szCs w:val="22"/>
        </w:rPr>
        <w:t xml:space="preserve">, com cópia para o Exmo. Sr. </w:t>
      </w:r>
      <w:r w:rsidR="00AD73A2" w:rsidRPr="00946B57">
        <w:rPr>
          <w:sz w:val="22"/>
          <w:szCs w:val="22"/>
        </w:rPr>
        <w:t>Alei Fernandes</w:t>
      </w:r>
      <w:r w:rsidR="00891239" w:rsidRPr="00946B57">
        <w:rPr>
          <w:sz w:val="22"/>
          <w:szCs w:val="22"/>
        </w:rPr>
        <w:t xml:space="preserve">, </w:t>
      </w:r>
      <w:r w:rsidR="00AD73A2" w:rsidRPr="00946B57">
        <w:rPr>
          <w:sz w:val="22"/>
          <w:szCs w:val="22"/>
        </w:rPr>
        <w:t>Prefeito Municipal de Sorriso</w:t>
      </w:r>
      <w:r w:rsidR="00891239" w:rsidRPr="00946B57">
        <w:rPr>
          <w:sz w:val="22"/>
          <w:szCs w:val="22"/>
        </w:rPr>
        <w:t xml:space="preserve">, </w:t>
      </w:r>
      <w:r w:rsidR="00891239" w:rsidRPr="00946B57">
        <w:rPr>
          <w:b/>
          <w:sz w:val="22"/>
          <w:szCs w:val="22"/>
        </w:rPr>
        <w:t xml:space="preserve">requerendo </w:t>
      </w:r>
      <w:r w:rsidR="00AD73A2" w:rsidRPr="00946B57">
        <w:rPr>
          <w:b/>
          <w:sz w:val="22"/>
          <w:szCs w:val="22"/>
        </w:rPr>
        <w:t>a disponibilização de totens de autoatendimento da Energisa no Ganha Tempo Central e no Ganha Tempo da Zona Leste</w:t>
      </w:r>
      <w:r w:rsidR="00891239" w:rsidRPr="00946B57">
        <w:rPr>
          <w:b/>
          <w:sz w:val="22"/>
          <w:szCs w:val="22"/>
        </w:rPr>
        <w:t>, no município de Sorriso/MT.</w:t>
      </w:r>
    </w:p>
    <w:p w14:paraId="7EE0E071" w14:textId="77777777" w:rsidR="00D73E16" w:rsidRPr="00946B57" w:rsidRDefault="00D73E16" w:rsidP="00946B57">
      <w:pPr>
        <w:tabs>
          <w:tab w:val="left" w:pos="944"/>
          <w:tab w:val="left" w:pos="3402"/>
        </w:tabs>
        <w:jc w:val="both"/>
        <w:rPr>
          <w:sz w:val="22"/>
          <w:szCs w:val="22"/>
        </w:rPr>
      </w:pPr>
    </w:p>
    <w:p w14:paraId="140F44FE" w14:textId="77777777" w:rsidR="00D73E16" w:rsidRPr="00946B57" w:rsidRDefault="00D73E16" w:rsidP="00946B57">
      <w:pPr>
        <w:tabs>
          <w:tab w:val="left" w:pos="944"/>
          <w:tab w:val="left" w:pos="3402"/>
        </w:tabs>
        <w:jc w:val="both"/>
        <w:rPr>
          <w:sz w:val="22"/>
          <w:szCs w:val="22"/>
        </w:rPr>
      </w:pPr>
    </w:p>
    <w:p w14:paraId="28D67428" w14:textId="77777777" w:rsidR="00D73E16" w:rsidRPr="00946B57" w:rsidRDefault="00891239" w:rsidP="00946B57">
      <w:pPr>
        <w:tabs>
          <w:tab w:val="left" w:pos="944"/>
          <w:tab w:val="left" w:pos="3402"/>
        </w:tabs>
        <w:jc w:val="center"/>
        <w:rPr>
          <w:b/>
          <w:sz w:val="22"/>
          <w:szCs w:val="22"/>
        </w:rPr>
      </w:pPr>
      <w:r w:rsidRPr="00946B57">
        <w:rPr>
          <w:b/>
          <w:sz w:val="22"/>
          <w:szCs w:val="22"/>
        </w:rPr>
        <w:t>JUSTIFICATIVA</w:t>
      </w:r>
    </w:p>
    <w:p w14:paraId="4632D8A1" w14:textId="54F3DA05" w:rsidR="00D73E16" w:rsidRPr="00946B57" w:rsidRDefault="00D73E16" w:rsidP="00946B57">
      <w:pPr>
        <w:tabs>
          <w:tab w:val="left" w:pos="944"/>
          <w:tab w:val="left" w:pos="3402"/>
        </w:tabs>
        <w:jc w:val="both"/>
        <w:rPr>
          <w:sz w:val="22"/>
          <w:szCs w:val="22"/>
        </w:rPr>
      </w:pPr>
    </w:p>
    <w:p w14:paraId="36C21C98" w14:textId="2DBB6C62" w:rsidR="003D4DF5" w:rsidRPr="00946B57" w:rsidRDefault="00891239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946B57">
        <w:rPr>
          <w:sz w:val="22"/>
          <w:szCs w:val="22"/>
        </w:rPr>
        <w:t>Considerando a necessidade de ampliar o acesso da população aos serviços essenciais prestados pela concessionária de energia elétrica, de forma moderna, ágil e eficiente.</w:t>
      </w:r>
    </w:p>
    <w:p w14:paraId="71C10CB4" w14:textId="77777777" w:rsidR="003D4DF5" w:rsidRPr="00946B57" w:rsidRDefault="003D4DF5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458C56C4" w14:textId="69352618" w:rsidR="00AD73A2" w:rsidRPr="00946B57" w:rsidRDefault="00891239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946B57">
        <w:rPr>
          <w:sz w:val="22"/>
          <w:szCs w:val="22"/>
        </w:rPr>
        <w:t>Considerando que o</w:t>
      </w:r>
      <w:r w:rsidRPr="00946B57">
        <w:rPr>
          <w:sz w:val="22"/>
          <w:szCs w:val="22"/>
        </w:rPr>
        <w:t xml:space="preserve">s totens de autoatendimento proporcionam uma alternativa prática </w:t>
      </w:r>
      <w:r w:rsidRPr="00946B57">
        <w:rPr>
          <w:sz w:val="22"/>
          <w:szCs w:val="22"/>
        </w:rPr>
        <w:t>ao atendimento presencial tradicional, permitindo que os usuários realizem, com autonomia, serviços como emissão de segunda via de contas, consulta de débitos, solicitação de religação, entre outros, reduzindo filas e agilizando a resolução de demandas rot</w:t>
      </w:r>
      <w:r w:rsidRPr="00946B57">
        <w:rPr>
          <w:sz w:val="22"/>
          <w:szCs w:val="22"/>
        </w:rPr>
        <w:t>ineiras.</w:t>
      </w:r>
    </w:p>
    <w:p w14:paraId="33E977DE" w14:textId="77777777" w:rsidR="00AD73A2" w:rsidRPr="00946B57" w:rsidRDefault="00AD73A2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186DBEF6" w14:textId="0A39AE84" w:rsidR="003D4DF5" w:rsidRPr="00946B57" w:rsidRDefault="00891239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946B57">
        <w:rPr>
          <w:sz w:val="22"/>
          <w:szCs w:val="22"/>
        </w:rPr>
        <w:t>Considerando que o Ganha Tempo Central e o da Zona Leste, por sua vez, estão se consolidado como importantes polos de atendimento aos cidadãos em Sorriso, reunindo diversos serviços públicos em um único espaço.</w:t>
      </w:r>
    </w:p>
    <w:p w14:paraId="4E96DBC7" w14:textId="77777777" w:rsidR="003D4DF5" w:rsidRPr="00946B57" w:rsidRDefault="003D4DF5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1EA8513F" w14:textId="4408096C" w:rsidR="00AD73A2" w:rsidRPr="00946B57" w:rsidRDefault="00891239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946B57">
        <w:rPr>
          <w:sz w:val="22"/>
          <w:szCs w:val="22"/>
        </w:rPr>
        <w:t>Considerando que a</w:t>
      </w:r>
      <w:r w:rsidRPr="00946B57">
        <w:rPr>
          <w:sz w:val="22"/>
          <w:szCs w:val="22"/>
        </w:rPr>
        <w:t xml:space="preserve"> presença de to</w:t>
      </w:r>
      <w:r w:rsidRPr="00946B57">
        <w:rPr>
          <w:sz w:val="22"/>
          <w:szCs w:val="22"/>
        </w:rPr>
        <w:t>tens da Energisa contribuirá significativamente para a descentralização do atendimento, promovendo mais comodidade, acessibilidade e inclusão digital, especialmente para pessoas com dificuldades de deslocamento ou com limitações quanto ao uso de meios elet</w:t>
      </w:r>
      <w:r w:rsidRPr="00946B57">
        <w:rPr>
          <w:sz w:val="22"/>
          <w:szCs w:val="22"/>
        </w:rPr>
        <w:t>rônicos em casa.</w:t>
      </w:r>
    </w:p>
    <w:p w14:paraId="3A41B04F" w14:textId="77777777" w:rsidR="00AD73A2" w:rsidRPr="00946B57" w:rsidRDefault="00AD73A2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0515990D" w14:textId="43118C62" w:rsidR="00AD73A2" w:rsidRPr="00946B57" w:rsidRDefault="00891239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946B57">
        <w:rPr>
          <w:sz w:val="22"/>
          <w:szCs w:val="22"/>
        </w:rPr>
        <w:t>Considerando</w:t>
      </w:r>
      <w:r w:rsidRPr="00946B57">
        <w:rPr>
          <w:sz w:val="22"/>
          <w:szCs w:val="22"/>
        </w:rPr>
        <w:t xml:space="preserve"> que o direito ao atendimento adequado, eficiente e contínuo está previsto no artigo 22 do Código de Defesa do Consumidor (Lei nº 8.078/1990), sendo dever das concessionárias facilitar o acesso da população aos seus serviços, </w:t>
      </w:r>
      <w:r w:rsidRPr="00946B57">
        <w:rPr>
          <w:sz w:val="22"/>
          <w:szCs w:val="22"/>
        </w:rPr>
        <w:t>principalmente em cidades em crescimento como Sorriso.</w:t>
      </w:r>
    </w:p>
    <w:p w14:paraId="289D2CBD" w14:textId="77777777" w:rsidR="00AD73A2" w:rsidRPr="00946B57" w:rsidRDefault="00AD73A2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2A03827B" w14:textId="16B9728C" w:rsidR="007601BA" w:rsidRPr="00946B57" w:rsidRDefault="00891239" w:rsidP="00946B57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946B57">
        <w:rPr>
          <w:sz w:val="22"/>
          <w:szCs w:val="22"/>
        </w:rPr>
        <w:t>Considerando a necessidade de</w:t>
      </w:r>
      <w:r w:rsidR="007D5933" w:rsidRPr="00946B57">
        <w:rPr>
          <w:sz w:val="22"/>
          <w:szCs w:val="22"/>
        </w:rPr>
        <w:t xml:space="preserve"> disponibilização de totens de autoatendimento da Energisa, com o devido suporte técnico e informativo, no Ganha Tempo Central e no Ganha Tempo da Zona Leste, no município de Sorriso/MT.</w:t>
      </w:r>
    </w:p>
    <w:p w14:paraId="037AC467" w14:textId="2C2DE73A" w:rsidR="007D5933" w:rsidRDefault="007D5933" w:rsidP="00946B57">
      <w:pPr>
        <w:ind w:firstLine="1418"/>
        <w:jc w:val="both"/>
        <w:rPr>
          <w:sz w:val="22"/>
          <w:szCs w:val="22"/>
        </w:rPr>
      </w:pPr>
    </w:p>
    <w:p w14:paraId="780C777B" w14:textId="77777777" w:rsidR="001B257F" w:rsidRPr="00946B57" w:rsidRDefault="001B257F" w:rsidP="00946B57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569AA46A" w14:textId="75CD92C0" w:rsidR="00D264B9" w:rsidRDefault="00891239" w:rsidP="00946B57">
      <w:pPr>
        <w:ind w:firstLine="1418"/>
        <w:jc w:val="both"/>
        <w:rPr>
          <w:sz w:val="22"/>
          <w:szCs w:val="22"/>
        </w:rPr>
      </w:pPr>
      <w:r w:rsidRPr="00946B57">
        <w:rPr>
          <w:sz w:val="22"/>
          <w:szCs w:val="22"/>
        </w:rPr>
        <w:t xml:space="preserve">Câmara Municipal de Sorriso, Estado de Mato Grosso, em </w:t>
      </w:r>
      <w:r w:rsidR="00946B57">
        <w:rPr>
          <w:sz w:val="22"/>
          <w:szCs w:val="22"/>
        </w:rPr>
        <w:t>22</w:t>
      </w:r>
      <w:r w:rsidR="00696C18" w:rsidRPr="00946B57">
        <w:rPr>
          <w:sz w:val="22"/>
          <w:szCs w:val="22"/>
        </w:rPr>
        <w:t xml:space="preserve"> </w:t>
      </w:r>
      <w:r w:rsidRPr="00946B57">
        <w:rPr>
          <w:sz w:val="22"/>
          <w:szCs w:val="22"/>
        </w:rPr>
        <w:t xml:space="preserve">de </w:t>
      </w:r>
      <w:r w:rsidR="00E6373F" w:rsidRPr="00946B57">
        <w:rPr>
          <w:sz w:val="22"/>
          <w:szCs w:val="22"/>
        </w:rPr>
        <w:t>abril</w:t>
      </w:r>
      <w:r w:rsidRPr="00946B57">
        <w:rPr>
          <w:sz w:val="22"/>
          <w:szCs w:val="22"/>
        </w:rPr>
        <w:t xml:space="preserve"> de 202</w:t>
      </w:r>
      <w:r w:rsidR="00917BA6" w:rsidRPr="00946B57">
        <w:rPr>
          <w:sz w:val="22"/>
          <w:szCs w:val="22"/>
        </w:rPr>
        <w:t>5</w:t>
      </w:r>
      <w:r w:rsidRPr="00946B57">
        <w:rPr>
          <w:sz w:val="22"/>
          <w:szCs w:val="22"/>
        </w:rPr>
        <w:t>.</w:t>
      </w:r>
    </w:p>
    <w:p w14:paraId="6A83B44D" w14:textId="59A8E52F" w:rsidR="00946B57" w:rsidRDefault="00946B57" w:rsidP="00946B57">
      <w:pPr>
        <w:ind w:firstLine="1418"/>
        <w:jc w:val="both"/>
        <w:rPr>
          <w:sz w:val="22"/>
          <w:szCs w:val="22"/>
        </w:rPr>
      </w:pPr>
    </w:p>
    <w:p w14:paraId="3F6D158A" w14:textId="56E02453" w:rsidR="00946B57" w:rsidRDefault="00946B57" w:rsidP="00946B57">
      <w:pPr>
        <w:ind w:firstLine="1418"/>
        <w:jc w:val="both"/>
        <w:rPr>
          <w:sz w:val="22"/>
          <w:szCs w:val="22"/>
        </w:rPr>
      </w:pPr>
    </w:p>
    <w:p w14:paraId="12EB1C7C" w14:textId="77777777" w:rsidR="00946B57" w:rsidRDefault="00946B57" w:rsidP="00946B57">
      <w:pPr>
        <w:ind w:firstLine="1418"/>
        <w:jc w:val="both"/>
        <w:rPr>
          <w:sz w:val="22"/>
          <w:szCs w:val="22"/>
        </w:rPr>
      </w:pPr>
    </w:p>
    <w:p w14:paraId="60B0835C" w14:textId="77777777" w:rsidR="00946B57" w:rsidRDefault="00946B57" w:rsidP="00946B57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946B57" w14:paraId="397E9A2B" w14:textId="77777777" w:rsidTr="00A90576">
        <w:trPr>
          <w:trHeight w:val="128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EAC3C3E" w14:textId="77777777" w:rsidR="00946B57" w:rsidRPr="00856EC4" w:rsidRDefault="00946B57" w:rsidP="00A9057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56EC4">
              <w:rPr>
                <w:b/>
                <w:sz w:val="22"/>
                <w:szCs w:val="22"/>
              </w:rPr>
              <w:t>PROFª</w:t>
            </w:r>
            <w:proofErr w:type="spellEnd"/>
            <w:r w:rsidRPr="00856EC4">
              <w:rPr>
                <w:b/>
                <w:sz w:val="22"/>
                <w:szCs w:val="22"/>
              </w:rPr>
              <w:t xml:space="preserve"> SILVANA PERIN</w:t>
            </w:r>
          </w:p>
          <w:p w14:paraId="60901A8C" w14:textId="77777777" w:rsidR="00946B57" w:rsidRDefault="00946B57" w:rsidP="00A90576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748CD" w14:textId="77777777" w:rsidR="00946B57" w:rsidRPr="00856EC4" w:rsidRDefault="00946B57" w:rsidP="00A9057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GRINGO DO BARREIRO</w:t>
            </w:r>
          </w:p>
          <w:p w14:paraId="16908F15" w14:textId="77777777" w:rsidR="00946B57" w:rsidRDefault="00946B57" w:rsidP="00A90576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2CDCB5B" w14:textId="77777777" w:rsidR="00946B57" w:rsidRPr="00856EC4" w:rsidRDefault="00946B57" w:rsidP="00A9057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JANE DELALIBERA</w:t>
            </w:r>
          </w:p>
          <w:p w14:paraId="6BFF3AC5" w14:textId="77777777" w:rsidR="00946B57" w:rsidRDefault="00946B57" w:rsidP="00A90576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Vereadora PL</w:t>
            </w:r>
          </w:p>
        </w:tc>
      </w:tr>
      <w:tr w:rsidR="00946B57" w14:paraId="4F5256C2" w14:textId="77777777" w:rsidTr="00A90576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D2E2D" w14:textId="77777777" w:rsidR="00946B57" w:rsidRPr="00856EC4" w:rsidRDefault="00946B57" w:rsidP="00A9057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ADIR CUNICO</w:t>
            </w:r>
          </w:p>
          <w:p w14:paraId="4E1143EC" w14:textId="77777777" w:rsidR="00946B57" w:rsidRDefault="00946B57" w:rsidP="00A90576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78AD5" w14:textId="77777777" w:rsidR="00946B57" w:rsidRDefault="00946B57" w:rsidP="00A90576">
            <w:pPr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DARCI GONÇALVES</w:t>
            </w:r>
          </w:p>
          <w:p w14:paraId="2A45B58B" w14:textId="77777777" w:rsidR="00946B57" w:rsidRDefault="00946B57" w:rsidP="00A90576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 MDB</w:t>
            </w:r>
          </w:p>
        </w:tc>
      </w:tr>
    </w:tbl>
    <w:p w14:paraId="24D73256" w14:textId="77777777" w:rsidR="00946B57" w:rsidRPr="00856EC4" w:rsidRDefault="00946B57" w:rsidP="00946B57">
      <w:pPr>
        <w:ind w:firstLine="1417"/>
        <w:jc w:val="both"/>
        <w:rPr>
          <w:b/>
          <w:sz w:val="22"/>
          <w:szCs w:val="22"/>
        </w:rPr>
      </w:pPr>
    </w:p>
    <w:p w14:paraId="6FDE7225" w14:textId="77777777" w:rsidR="00946B57" w:rsidRPr="00946B57" w:rsidRDefault="00946B57" w:rsidP="00946B57">
      <w:pPr>
        <w:ind w:firstLine="1418"/>
        <w:jc w:val="both"/>
        <w:rPr>
          <w:sz w:val="22"/>
          <w:szCs w:val="22"/>
        </w:rPr>
      </w:pPr>
    </w:p>
    <w:sectPr w:rsidR="00946B57" w:rsidRPr="00946B57" w:rsidSect="00946B57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4512B" w14:textId="77777777" w:rsidR="00891239" w:rsidRDefault="00891239" w:rsidP="00946B57">
      <w:r>
        <w:separator/>
      </w:r>
    </w:p>
  </w:endnote>
  <w:endnote w:type="continuationSeparator" w:id="0">
    <w:p w14:paraId="078A5342" w14:textId="77777777" w:rsidR="00891239" w:rsidRDefault="00891239" w:rsidP="0094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32D0" w14:textId="77777777" w:rsidR="00891239" w:rsidRDefault="00891239" w:rsidP="00946B57">
      <w:r>
        <w:separator/>
      </w:r>
    </w:p>
  </w:footnote>
  <w:footnote w:type="continuationSeparator" w:id="0">
    <w:p w14:paraId="4F10B25A" w14:textId="77777777" w:rsidR="00891239" w:rsidRDefault="00891239" w:rsidP="0094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55AD3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48BE"/>
    <w:rsid w:val="001B257F"/>
    <w:rsid w:val="00211B4F"/>
    <w:rsid w:val="00225DFD"/>
    <w:rsid w:val="002409BF"/>
    <w:rsid w:val="00262F43"/>
    <w:rsid w:val="00287D22"/>
    <w:rsid w:val="002E4FE1"/>
    <w:rsid w:val="00303AD1"/>
    <w:rsid w:val="003105C1"/>
    <w:rsid w:val="0031519F"/>
    <w:rsid w:val="0035315E"/>
    <w:rsid w:val="0036757D"/>
    <w:rsid w:val="00372A7F"/>
    <w:rsid w:val="003A0756"/>
    <w:rsid w:val="003D4DF5"/>
    <w:rsid w:val="00407525"/>
    <w:rsid w:val="004200B8"/>
    <w:rsid w:val="00454F2D"/>
    <w:rsid w:val="00463F2D"/>
    <w:rsid w:val="00466290"/>
    <w:rsid w:val="0048307D"/>
    <w:rsid w:val="00484CD3"/>
    <w:rsid w:val="004A3660"/>
    <w:rsid w:val="004D44E2"/>
    <w:rsid w:val="005226AC"/>
    <w:rsid w:val="005A1D55"/>
    <w:rsid w:val="005B5B55"/>
    <w:rsid w:val="005C750F"/>
    <w:rsid w:val="005E3C27"/>
    <w:rsid w:val="0066726B"/>
    <w:rsid w:val="00680EC4"/>
    <w:rsid w:val="00696012"/>
    <w:rsid w:val="00696C18"/>
    <w:rsid w:val="006A40CE"/>
    <w:rsid w:val="006C19B6"/>
    <w:rsid w:val="006D52D3"/>
    <w:rsid w:val="007264C6"/>
    <w:rsid w:val="00732227"/>
    <w:rsid w:val="007601BA"/>
    <w:rsid w:val="007A63D1"/>
    <w:rsid w:val="007D19F8"/>
    <w:rsid w:val="007D5933"/>
    <w:rsid w:val="007F7E76"/>
    <w:rsid w:val="00805473"/>
    <w:rsid w:val="00812941"/>
    <w:rsid w:val="00814C33"/>
    <w:rsid w:val="00841702"/>
    <w:rsid w:val="008839D7"/>
    <w:rsid w:val="00891239"/>
    <w:rsid w:val="0089341E"/>
    <w:rsid w:val="008C1B77"/>
    <w:rsid w:val="008C6B88"/>
    <w:rsid w:val="00917BA6"/>
    <w:rsid w:val="00935B8D"/>
    <w:rsid w:val="00946B57"/>
    <w:rsid w:val="009555A5"/>
    <w:rsid w:val="00966327"/>
    <w:rsid w:val="009831AB"/>
    <w:rsid w:val="009A594B"/>
    <w:rsid w:val="009C0DB3"/>
    <w:rsid w:val="009D0A43"/>
    <w:rsid w:val="00A1791C"/>
    <w:rsid w:val="00AB78BD"/>
    <w:rsid w:val="00AD73A2"/>
    <w:rsid w:val="00B04A23"/>
    <w:rsid w:val="00B852D9"/>
    <w:rsid w:val="00B86ABD"/>
    <w:rsid w:val="00BD4EA4"/>
    <w:rsid w:val="00BF19B1"/>
    <w:rsid w:val="00C01ECD"/>
    <w:rsid w:val="00C16B73"/>
    <w:rsid w:val="00C45183"/>
    <w:rsid w:val="00C62590"/>
    <w:rsid w:val="00CB0660"/>
    <w:rsid w:val="00D264B9"/>
    <w:rsid w:val="00D73E16"/>
    <w:rsid w:val="00D8022D"/>
    <w:rsid w:val="00D932C7"/>
    <w:rsid w:val="00DA6DB0"/>
    <w:rsid w:val="00DC0A4F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66BD5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D61C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946B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6B57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946B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6B57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22</cp:revision>
  <cp:lastPrinted>2025-04-14T11:41:00Z</cp:lastPrinted>
  <dcterms:created xsi:type="dcterms:W3CDTF">2025-03-19T12:47:00Z</dcterms:created>
  <dcterms:modified xsi:type="dcterms:W3CDTF">2025-04-25T12:54:00Z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