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5B09" w14:textId="46B6C08D" w:rsidR="00A0712B" w:rsidRPr="004E6B0B" w:rsidRDefault="00881527" w:rsidP="004E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ab/>
      </w:r>
      <w:r w:rsidRPr="004E6B0B">
        <w:rPr>
          <w:rFonts w:ascii="Times New Roman" w:hAnsi="Times New Roman" w:cs="Times New Roman"/>
          <w:sz w:val="24"/>
          <w:szCs w:val="24"/>
        </w:rPr>
        <w:tab/>
      </w:r>
      <w:r w:rsidRPr="004E6B0B">
        <w:rPr>
          <w:rFonts w:ascii="Times New Roman" w:hAnsi="Times New Roman" w:cs="Times New Roman"/>
          <w:sz w:val="24"/>
          <w:szCs w:val="24"/>
        </w:rPr>
        <w:tab/>
      </w:r>
    </w:p>
    <w:p w14:paraId="259E28C9" w14:textId="1D0ABD8B" w:rsidR="003A0614" w:rsidRPr="004E6B0B" w:rsidRDefault="00881527" w:rsidP="004E6B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B0B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154040" w:rsidRPr="004E6B0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Pr="004E6B0B">
        <w:rPr>
          <w:rFonts w:ascii="Times New Roman" w:hAnsi="Times New Roman" w:cs="Times New Roman"/>
          <w:b/>
          <w:sz w:val="24"/>
          <w:szCs w:val="24"/>
        </w:rPr>
        <w:t>Nº</w:t>
      </w:r>
      <w:r w:rsidR="004E6B0B" w:rsidRPr="004E6B0B">
        <w:rPr>
          <w:rFonts w:ascii="Times New Roman" w:hAnsi="Times New Roman" w:cs="Times New Roman"/>
          <w:b/>
          <w:sz w:val="24"/>
          <w:szCs w:val="24"/>
        </w:rPr>
        <w:t xml:space="preserve"> 08</w:t>
      </w:r>
      <w:r w:rsidRPr="004E6B0B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4E6B0B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4E6B0B" w:rsidRDefault="00F905A7" w:rsidP="004E6B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4E6B0B" w:rsidRDefault="00362B6A" w:rsidP="004E6B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20CE9270" w:rsidR="003A0614" w:rsidRPr="004E6B0B" w:rsidRDefault="00881527" w:rsidP="004E6B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 xml:space="preserve">Data: </w:t>
      </w:r>
      <w:r w:rsidR="00AF462E" w:rsidRPr="004E6B0B">
        <w:rPr>
          <w:rFonts w:ascii="Times New Roman" w:hAnsi="Times New Roman" w:cs="Times New Roman"/>
          <w:sz w:val="24"/>
          <w:szCs w:val="24"/>
        </w:rPr>
        <w:t>1</w:t>
      </w:r>
      <w:r w:rsidR="004E6B0B" w:rsidRPr="004E6B0B">
        <w:rPr>
          <w:rFonts w:ascii="Times New Roman" w:hAnsi="Times New Roman" w:cs="Times New Roman"/>
          <w:sz w:val="24"/>
          <w:szCs w:val="24"/>
        </w:rPr>
        <w:t>8</w:t>
      </w:r>
      <w:r w:rsidR="002B0B75" w:rsidRPr="004E6B0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9375A" w:rsidRPr="004E6B0B">
        <w:rPr>
          <w:rFonts w:ascii="Times New Roman" w:hAnsi="Times New Roman" w:cs="Times New Roman"/>
          <w:sz w:val="24"/>
          <w:szCs w:val="24"/>
        </w:rPr>
        <w:t xml:space="preserve"> </w:t>
      </w:r>
      <w:r w:rsidRPr="004E6B0B">
        <w:rPr>
          <w:rFonts w:ascii="Times New Roman" w:hAnsi="Times New Roman" w:cs="Times New Roman"/>
          <w:sz w:val="24"/>
          <w:szCs w:val="24"/>
        </w:rPr>
        <w:t>de 20</w:t>
      </w:r>
      <w:r w:rsidR="00885878" w:rsidRPr="004E6B0B">
        <w:rPr>
          <w:rFonts w:ascii="Times New Roman" w:hAnsi="Times New Roman" w:cs="Times New Roman"/>
          <w:sz w:val="24"/>
          <w:szCs w:val="24"/>
        </w:rPr>
        <w:t>25</w:t>
      </w:r>
    </w:p>
    <w:p w14:paraId="3B2D3134" w14:textId="77777777" w:rsidR="00F905A7" w:rsidRPr="004E6B0B" w:rsidRDefault="00F905A7" w:rsidP="004E6B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4E6B0B" w:rsidRDefault="00881527" w:rsidP="004E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ab/>
      </w:r>
      <w:r w:rsidRPr="004E6B0B">
        <w:rPr>
          <w:rFonts w:ascii="Times New Roman" w:hAnsi="Times New Roman" w:cs="Times New Roman"/>
          <w:sz w:val="24"/>
          <w:szCs w:val="24"/>
        </w:rPr>
        <w:tab/>
      </w:r>
      <w:r w:rsidRPr="004E6B0B">
        <w:rPr>
          <w:rFonts w:ascii="Times New Roman" w:hAnsi="Times New Roman" w:cs="Times New Roman"/>
          <w:sz w:val="24"/>
          <w:szCs w:val="24"/>
        </w:rPr>
        <w:tab/>
      </w:r>
    </w:p>
    <w:p w14:paraId="794183CA" w14:textId="77777777" w:rsidR="00154040" w:rsidRPr="004E6B0B" w:rsidRDefault="00881527" w:rsidP="004E6B0B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Cria a “Escola do Legislativo” no âmbito da </w:t>
      </w:r>
      <w:r w:rsidRPr="004E6B0B">
        <w:rPr>
          <w:rFonts w:ascii="Times New Roman" w:eastAsia="Arial" w:hAnsi="Times New Roman" w:cs="Times New Roman"/>
          <w:sz w:val="24"/>
          <w:szCs w:val="24"/>
        </w:rPr>
        <w:t>Câmara Municipal de Sorriso-MT e dá outras providências.</w:t>
      </w:r>
    </w:p>
    <w:p w14:paraId="5D75224A" w14:textId="77777777" w:rsidR="002500EA" w:rsidRPr="004E6B0B" w:rsidRDefault="002500EA" w:rsidP="004E6B0B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30488" w14:textId="77777777" w:rsidR="002E42EE" w:rsidRPr="004E6B0B" w:rsidRDefault="002E42EE" w:rsidP="004E6B0B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69F6FEB0" w:rsidR="002500EA" w:rsidRPr="004E6B0B" w:rsidRDefault="00881527" w:rsidP="008E38D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b/>
          <w:sz w:val="24"/>
          <w:szCs w:val="24"/>
        </w:rPr>
        <w:t>RODRIGO MATTEREZZI</w:t>
      </w:r>
      <w:r w:rsidR="0083481A" w:rsidRPr="004E6B0B">
        <w:rPr>
          <w:rFonts w:ascii="Times New Roman" w:hAnsi="Times New Roman" w:cs="Times New Roman"/>
          <w:b/>
          <w:sz w:val="24"/>
          <w:szCs w:val="24"/>
        </w:rPr>
        <w:t xml:space="preserve"> – Republicanos</w:t>
      </w:r>
      <w:r w:rsidR="0083481A" w:rsidRPr="004E6B0B">
        <w:rPr>
          <w:rFonts w:ascii="Times New Roman" w:hAnsi="Times New Roman" w:cs="Times New Roman"/>
          <w:sz w:val="24"/>
          <w:szCs w:val="24"/>
        </w:rPr>
        <w:t xml:space="preserve"> </w:t>
      </w:r>
      <w:r w:rsidR="0083481A" w:rsidRPr="004E6B0B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="0083481A" w:rsidRPr="004E6B0B">
        <w:rPr>
          <w:rFonts w:ascii="Times New Roman" w:hAnsi="Times New Roman" w:cs="Times New Roman"/>
          <w:b/>
          <w:sz w:val="24"/>
          <w:szCs w:val="24"/>
        </w:rPr>
        <w:t>,</w:t>
      </w:r>
      <w:r w:rsidR="0083481A" w:rsidRPr="004E6B0B">
        <w:rPr>
          <w:rFonts w:ascii="Times New Roman" w:hAnsi="Times New Roman" w:cs="Times New Roman"/>
          <w:sz w:val="24"/>
          <w:szCs w:val="24"/>
        </w:rPr>
        <w:t xml:space="preserve"> com assento nesta Casa, com fulcro no Art. 108</w:t>
      </w:r>
      <w:r w:rsidR="00E4658A" w:rsidRPr="004E6B0B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83481A" w:rsidRPr="004E6B0B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4E6B0B">
        <w:rPr>
          <w:rFonts w:ascii="Times New Roman" w:hAnsi="Times New Roman" w:cs="Times New Roman"/>
          <w:sz w:val="24"/>
          <w:szCs w:val="24"/>
        </w:rPr>
        <w:t>m</w:t>
      </w:r>
      <w:r w:rsidR="0083481A" w:rsidRPr="004E6B0B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4E6B0B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83481A" w:rsidRPr="004E6B0B">
        <w:rPr>
          <w:rFonts w:ascii="Times New Roman" w:hAnsi="Times New Roman" w:cs="Times New Roman"/>
          <w:sz w:val="24"/>
          <w:szCs w:val="24"/>
        </w:rPr>
        <w:t xml:space="preserve">o seguinte Projeto de </w:t>
      </w:r>
      <w:r w:rsidR="00F623A6" w:rsidRPr="004E6B0B">
        <w:rPr>
          <w:rFonts w:ascii="Times New Roman" w:hAnsi="Times New Roman" w:cs="Times New Roman"/>
          <w:sz w:val="24"/>
          <w:szCs w:val="24"/>
        </w:rPr>
        <w:t>Resolução</w:t>
      </w:r>
      <w:r w:rsidR="0083481A" w:rsidRPr="004E6B0B">
        <w:rPr>
          <w:rFonts w:ascii="Times New Roman" w:hAnsi="Times New Roman" w:cs="Times New Roman"/>
          <w:sz w:val="24"/>
          <w:szCs w:val="24"/>
        </w:rPr>
        <w:t>:</w:t>
      </w:r>
    </w:p>
    <w:p w14:paraId="1006F5DC" w14:textId="77777777" w:rsidR="00477F02" w:rsidRPr="004E6B0B" w:rsidRDefault="00477F02" w:rsidP="004E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DF836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iCs/>
          <w:sz w:val="24"/>
          <w:szCs w:val="24"/>
        </w:rPr>
        <w:t xml:space="preserve">Art. 1º 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Fica criada a "Escola do Legislativo", com a finalidade de promover a capacitação de servidores e parlamentares, organizar e administrar o Museu Legislativo, bem como aprimorar e integrar programas educacionais e culturais já existentes no âmbito do Poder Legislativo, como o Parlamento Jovem </w:t>
      </w:r>
      <w:proofErr w:type="spellStart"/>
      <w:r w:rsidRPr="004E6B0B">
        <w:rPr>
          <w:rFonts w:ascii="Times New Roman" w:eastAsia="Times New Roman" w:hAnsi="Times New Roman" w:cs="Times New Roman"/>
          <w:sz w:val="24"/>
          <w:szCs w:val="24"/>
        </w:rPr>
        <w:t>Sorrisense</w:t>
      </w:r>
      <w:proofErr w:type="spellEnd"/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– Ensino Médio, Por Dentro do Parlamento, Programa Escola Amiga do Agro e Noções Básicas de Direito na Escola</w:t>
      </w:r>
      <w:r w:rsidRPr="004E6B0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F780C86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8579E0" w14:textId="77777777" w:rsidR="00154040" w:rsidRPr="004E6B0B" w:rsidRDefault="00881527" w:rsidP="004E6B0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iCs/>
          <w:sz w:val="24"/>
          <w:szCs w:val="24"/>
        </w:rPr>
        <w:t xml:space="preserve">Art. 2º 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>São objetivos da Escola do Legislativo:</w:t>
      </w:r>
    </w:p>
    <w:p w14:paraId="3C88DED6" w14:textId="77777777" w:rsidR="006F6106" w:rsidRPr="004E6B0B" w:rsidRDefault="006F6106" w:rsidP="004E6B0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15055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 - Oferecer cursos de capacitação e aperfeiçoamento para os servidores e parlamentares, com temas voltados ao aprimoramento das atividades legislativas, administrativas e políticas;</w:t>
      </w:r>
    </w:p>
    <w:p w14:paraId="69938B11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II - Contratar e promover cursos e treinamentos para servidores e parlamentares nas áreas de processos legislativos, ética, direito público, orçamento, comunicação política, tecnologia legislativa e outras temáticas de interesse do Poder Legislativo;</w:t>
      </w:r>
    </w:p>
    <w:p w14:paraId="5C4B023C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III - Organizar, manter e promover atividades relacionadas ao Museu Legislativo, buscando preservar e divulgar a história, as tradições e os feitos do Poder Legislativo;</w:t>
      </w:r>
    </w:p>
    <w:p w14:paraId="44A1A9B0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IV - Trabalhar com a integração, aprimoramento e continuidade dos programas já existentes na Casa, como o Parlamento Jovem e o Por Dentro do Parlamento, visando maior envolvimento da sociedade com o processo legislativo e a formação de novos líderes e cidadãos conscientes;</w:t>
      </w:r>
    </w:p>
    <w:p w14:paraId="08F7A260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 - Fomentar o entendimento sobre a importância da democracia e do processo legislativo por meio de ações educativas e culturais;</w:t>
      </w:r>
    </w:p>
    <w:p w14:paraId="6FEDDBCF" w14:textId="77777777" w:rsid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VI - Fomentar a constante atualização sobre as melhores práticas legislativas, metodologias de trabalho e o uso de novas tecnologias no âmbito do processo legislativo;</w:t>
      </w:r>
    </w:p>
    <w:p w14:paraId="592D5334" w14:textId="692B5E9F" w:rsidR="004E6B0B" w:rsidRDefault="004E6B0B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VII - Organizar seminários, debates e encontros com especialistas, a fim de promover a troca de experiências e conhecimentos entre os participantes;</w:t>
      </w:r>
    </w:p>
    <w:p w14:paraId="3FD9EC7A" w14:textId="46B05AA2" w:rsidR="004E6B0B" w:rsidRDefault="004E6B0B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VIII - Contribuir para o fortalecimento da cidadania e da democracia, por meio do treinamento de parlamentares e servidores em temas que envolvem os direitos fundamentais dos cidadãos</w:t>
      </w:r>
      <w:r w:rsidRPr="004E6B0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691E08D" w14:textId="55606A0C" w:rsidR="004E6B0B" w:rsidRDefault="004E6B0B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ED12CB1" w14:textId="69AC7670" w:rsidR="004E6B0B" w:rsidRPr="004E6B0B" w:rsidRDefault="004E6B0B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iCs/>
          <w:sz w:val="24"/>
          <w:szCs w:val="24"/>
        </w:rPr>
        <w:t xml:space="preserve">Art. 3º 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>A Escola do Legislativo terá as seguintes atribuições:</w:t>
      </w:r>
    </w:p>
    <w:p w14:paraId="35E761E0" w14:textId="4F3F33BB" w:rsidR="00154040" w:rsidRPr="004E6B0B" w:rsidRDefault="004E6B0B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A2A2BF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lastRenderedPageBreak/>
        <w:t>I - Planejar, elaborar e executar o calendário anual de cursos, programas e eventos educacionais;</w:t>
      </w:r>
    </w:p>
    <w:p w14:paraId="624A4117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II - Planejar, executar e coordenar os cursos de capacitação de servidores e parlamentares, priorizando a qualidade e a relevância do conteúdo educacional;</w:t>
      </w:r>
    </w:p>
    <w:p w14:paraId="55B0090A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III - Organizar e gerenciar as atividades do Museu Legislativo, incluindo exposições, visitas guiadas, eventos culturais e a preservação do patrimônio histórico do Poder Legislativo;</w:t>
      </w:r>
    </w:p>
    <w:p w14:paraId="5D579DDF" w14:textId="7A105895" w:rsidR="00154040" w:rsidRPr="004E6B0B" w:rsidRDefault="004E6B0B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81527" w:rsidRPr="004E6B0B">
        <w:rPr>
          <w:rFonts w:ascii="Times New Roman" w:eastAsia="Times New Roman" w:hAnsi="Times New Roman" w:cs="Times New Roman"/>
          <w:sz w:val="24"/>
          <w:szCs w:val="24"/>
        </w:rPr>
        <w:t>V - Propor e coordenar a continuidade e o aprimoramento de programas institucionais como o "Parlamento Jovem" e "Por Dentro do Parlamento", com o intuito de promover a educação cívica e o engajamento político entre os jovens e a sociedade em geral;</w:t>
      </w:r>
    </w:p>
    <w:p w14:paraId="05505AAB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 - Elaborar e implementar novas iniciativas educacionais e culturais, com foco na transparência legislativa e no fortalecimento da democracia;</w:t>
      </w:r>
    </w:p>
    <w:p w14:paraId="76B2FFC0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VI - Estabelecer parcerias com instituições de ensino, centros de pesquisa, organizações não governamentais e outros órgãos governamentais para ampliar o alcance e a qualidade dos cursos e programas oferecidos;</w:t>
      </w:r>
    </w:p>
    <w:p w14:paraId="56C933B3" w14:textId="77777777" w:rsidR="004E6B0B" w:rsidRPr="004E6B0B" w:rsidRDefault="00881527" w:rsidP="004E6B0B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VII - Avaliar continuamente a eficácia das atividades de capacitação realizadas e propor melhorias nos cursos oferecidos;</w:t>
      </w:r>
    </w:p>
    <w:p w14:paraId="4C0A5A57" w14:textId="228B4052" w:rsidR="00154040" w:rsidRPr="004E6B0B" w:rsidRDefault="00881527" w:rsidP="004E6B0B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VIII - Receber sugestões de temas e cursos a serem realizados, com base nas necessidades e demandas dos servidores e parlamentares</w:t>
      </w:r>
      <w:r w:rsidRPr="004E6B0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438A388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BE66FC6" w14:textId="5752B765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Art. 4º A Escola do Legislativo contará com uma estrutura administrativa própria, com coordenação da escola do legislativo e assessores técnicos, sendo </w:t>
      </w:r>
      <w:r w:rsidR="00E46042" w:rsidRPr="004E6B0B">
        <w:rPr>
          <w:rFonts w:ascii="Times New Roman" w:eastAsia="Times New Roman" w:hAnsi="Times New Roman" w:cs="Times New Roman"/>
          <w:sz w:val="24"/>
          <w:szCs w:val="24"/>
        </w:rPr>
        <w:t>gerido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a Presidência da Câmara Municipal.</w:t>
      </w:r>
    </w:p>
    <w:p w14:paraId="625AD0D3" w14:textId="77777777" w:rsidR="00154040" w:rsidRPr="004E6B0B" w:rsidRDefault="00154040" w:rsidP="004E6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A1CF2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Art. 5º A Escola do Legislativo poderá celebrar convênios com outras instituições públicas ou privadas para a oferta de cursos e programas institucional e educativos, respeitando os princípios da legalidade, moralidade, publicidade e eficiência.</w:t>
      </w:r>
    </w:p>
    <w:p w14:paraId="0C055825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329F4" w14:textId="5EFEA80F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Art. 6º O Museu Legislativo será </w:t>
      </w:r>
      <w:r w:rsidR="00E46042" w:rsidRPr="004E6B0B">
        <w:rPr>
          <w:rFonts w:ascii="Times New Roman" w:eastAsia="Times New Roman" w:hAnsi="Times New Roman" w:cs="Times New Roman"/>
          <w:sz w:val="24"/>
          <w:szCs w:val="24"/>
        </w:rPr>
        <w:t>gerido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pela Escola do Legislativo e terá como</w:t>
      </w:r>
      <w:r w:rsidR="006F6106" w:rsidRPr="004E6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B0B">
        <w:rPr>
          <w:rFonts w:ascii="Times New Roman" w:eastAsia="Times New Roman" w:hAnsi="Times New Roman" w:cs="Times New Roman"/>
          <w:i/>
          <w:iCs/>
          <w:sz w:val="24"/>
          <w:szCs w:val="24"/>
        </w:rPr>
        <w:t>principais objetivos:</w:t>
      </w:r>
    </w:p>
    <w:p w14:paraId="068EE438" w14:textId="77777777" w:rsidR="006F6106" w:rsidRPr="004E6B0B" w:rsidRDefault="006F6106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D5D6B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 - Preservar, expor e divulgar a história do Poder Legislativo, com foco na construção da democracia, nas práticas legislativas e nos personagens que marcaram a trajetória do Parlamento;</w:t>
      </w:r>
    </w:p>
    <w:p w14:paraId="03359B4E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II - Realizar visitas guiadas, palestras e eventos culturais que promovam o conhecimento sobre o funcionamento e a importância do Poder Legislativo para a sociedade;</w:t>
      </w:r>
    </w:p>
    <w:p w14:paraId="7ACF546B" w14:textId="27106755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III - Disponibilizar material educativo e promover ações para escolas e grupos da comunidade, com o intuito de incentivar o aprendizado sobre cidadania, política e a história legislativa.</w:t>
      </w:r>
    </w:p>
    <w:p w14:paraId="5C3174BA" w14:textId="77777777" w:rsidR="006F6106" w:rsidRPr="004E6B0B" w:rsidRDefault="006F6106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67970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Art. 7º O programa Parlamento Jovem </w:t>
      </w:r>
      <w:proofErr w:type="spellStart"/>
      <w:r w:rsidRPr="004E6B0B">
        <w:rPr>
          <w:rFonts w:ascii="Times New Roman" w:eastAsia="Times New Roman" w:hAnsi="Times New Roman" w:cs="Times New Roman"/>
          <w:sz w:val="24"/>
          <w:szCs w:val="24"/>
        </w:rPr>
        <w:t>Sorrisense</w:t>
      </w:r>
      <w:proofErr w:type="spellEnd"/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– Ensino Médio será mantido pela Escola do Legislativo, com o objetivo de envolver jovens do ensino médio na prática política, proporcionando conhecimento sobre a estrutura e funcionamento do Poder Legislativo, além de estimular a participação ativa na democracia.</w:t>
      </w:r>
    </w:p>
    <w:p w14:paraId="6ACDC588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FD862" w14:textId="6CF86A7F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Art. 8º O programa Por Dentro do Parlamento será </w:t>
      </w:r>
      <w:r w:rsidR="00E46042" w:rsidRPr="004E6B0B">
        <w:rPr>
          <w:rFonts w:ascii="Times New Roman" w:eastAsia="Times New Roman" w:hAnsi="Times New Roman" w:cs="Times New Roman"/>
          <w:sz w:val="24"/>
          <w:szCs w:val="24"/>
        </w:rPr>
        <w:t>gerido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pela Escola do Legislativo, com o objetivo de proporcionar à sociedade em geral, especialmente a grupos escolares, a oportunidade de conhecer o funcionamento do Parlamento, participando de atividades educativas, visitas ao Legislativo e eventos temáticos.</w:t>
      </w:r>
    </w:p>
    <w:p w14:paraId="27BD09AF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94F93" w14:textId="461E069B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Art. 9º O Programa Escola Amiga do Agro será </w:t>
      </w:r>
      <w:r w:rsidR="00E46042" w:rsidRPr="004E6B0B">
        <w:rPr>
          <w:rFonts w:ascii="Times New Roman" w:eastAsia="Times New Roman" w:hAnsi="Times New Roman" w:cs="Times New Roman"/>
          <w:sz w:val="24"/>
          <w:szCs w:val="24"/>
        </w:rPr>
        <w:t>gerido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às atividades da Escola do Legislativo, com a finalidade de promover a educação sobre o agronegócio e a sua importância para a economia e o desenvolvimento rural, envolvendo escolas e comunidades no conhecimento das políticas públicas voltadas para o setor.</w:t>
      </w:r>
    </w:p>
    <w:p w14:paraId="3DDE7B71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26B01" w14:textId="08BFE630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Art. 10</w:t>
      </w:r>
      <w:r w:rsidR="004E6B0B" w:rsidRPr="004E6B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O programa Noções Básicas de Direito na Escola será gerido pela Escola do Legislativo com o objetivo de levar a educação jurídica para as escolas, proporcionando a estudantes do ensino fundamental e médio o conhecimento básico sobre direitos e deveres civis, além de temas ligados à cidadania e à Constituição Federal.</w:t>
      </w:r>
    </w:p>
    <w:p w14:paraId="783FCDBE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4DDB2" w14:textId="08AD445A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Art. 11</w:t>
      </w:r>
      <w:r w:rsidR="004E6B0B" w:rsidRPr="004E6B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O orçamento necessário para a implementação e manutenção das atividades da Escola do Legislativo, do Museu Legislativo e dos programas institucional e educacionais será previsto anualmente na Lei Orçamentária do Poder Legislativo, podendo ser suplementado conforme as necessidades e a disponibilidade de recursos.</w:t>
      </w:r>
    </w:p>
    <w:p w14:paraId="1579D041" w14:textId="77777777" w:rsidR="00154040" w:rsidRPr="004E6B0B" w:rsidRDefault="00154040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7183D" w14:textId="4BECF510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Art. 12</w:t>
      </w:r>
      <w:r w:rsidR="004E6B0B" w:rsidRPr="004E6B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A Escola do Legislativo terá autonomia para elaborar regulamentos internos que definam critérios de participação, organização e avaliação dos cursos, programas e eventos, observando os princípios da transparência, eficiência e equidade.</w:t>
      </w:r>
    </w:p>
    <w:p w14:paraId="362EE793" w14:textId="77777777" w:rsidR="00154040" w:rsidRPr="004E6B0B" w:rsidRDefault="00154040" w:rsidP="004E6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6D263" w14:textId="4A9C78D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Art. 1</w:t>
      </w:r>
      <w:r w:rsidR="00E46042" w:rsidRPr="004E6B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E6B0B" w:rsidRPr="004E6B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A Câmara Municipal deverá fazer as adequações/modificações necessárias para atendimento à esta Resolução</w:t>
      </w:r>
      <w:r w:rsidR="004E6B0B" w:rsidRPr="004E6B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imediatamente após a data de sua publicação.</w:t>
      </w:r>
    </w:p>
    <w:p w14:paraId="6FD4AAD7" w14:textId="77777777" w:rsidR="004E6B0B" w:rsidRPr="004E6B0B" w:rsidRDefault="004E6B0B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1ED98" w14:textId="77777777" w:rsidR="00154040" w:rsidRPr="004E6B0B" w:rsidRDefault="00154040" w:rsidP="004E6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49A97" w14:textId="58E32059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B0B">
        <w:rPr>
          <w:rFonts w:ascii="Times New Roman" w:eastAsia="Times New Roman" w:hAnsi="Times New Roman" w:cs="Times New Roman"/>
          <w:sz w:val="24"/>
          <w:szCs w:val="24"/>
        </w:rPr>
        <w:t>Art. 1</w:t>
      </w:r>
      <w:r w:rsidR="00E46042" w:rsidRPr="004E6B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B0B" w:rsidRPr="004E6B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 xml:space="preserve"> Esta </w:t>
      </w:r>
      <w:r w:rsidR="004E6B0B" w:rsidRPr="004E6B0B">
        <w:rPr>
          <w:rFonts w:ascii="Times New Roman" w:eastAsia="Times New Roman" w:hAnsi="Times New Roman" w:cs="Times New Roman"/>
          <w:sz w:val="24"/>
          <w:szCs w:val="24"/>
        </w:rPr>
        <w:t xml:space="preserve">Resolução </w:t>
      </w:r>
      <w:r w:rsidRPr="004E6B0B">
        <w:rPr>
          <w:rFonts w:ascii="Times New Roman" w:eastAsia="Times New Roman" w:hAnsi="Times New Roman" w:cs="Times New Roman"/>
          <w:sz w:val="24"/>
          <w:szCs w:val="24"/>
        </w:rPr>
        <w:t>entra em vigor na data de sua publicação.</w:t>
      </w:r>
    </w:p>
    <w:p w14:paraId="4DC0C0E9" w14:textId="77777777" w:rsidR="00477F02" w:rsidRPr="004E6B0B" w:rsidRDefault="00477F02" w:rsidP="004E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82FED" w14:textId="77777777" w:rsidR="004E6B0B" w:rsidRDefault="004E6B0B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5DC42F8" w14:textId="7C3483ED" w:rsidR="00441DFC" w:rsidRPr="004E6B0B" w:rsidRDefault="00881527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F462E" w:rsidRPr="004E6B0B">
        <w:rPr>
          <w:rFonts w:ascii="Times New Roman" w:hAnsi="Times New Roman" w:cs="Times New Roman"/>
          <w:sz w:val="24"/>
          <w:szCs w:val="24"/>
        </w:rPr>
        <w:t>1</w:t>
      </w:r>
      <w:r w:rsidR="004E6B0B">
        <w:rPr>
          <w:rFonts w:ascii="Times New Roman" w:hAnsi="Times New Roman" w:cs="Times New Roman"/>
          <w:sz w:val="24"/>
          <w:szCs w:val="24"/>
        </w:rPr>
        <w:t>8</w:t>
      </w:r>
      <w:r w:rsidR="002E42EE" w:rsidRPr="004E6B0B">
        <w:rPr>
          <w:rFonts w:ascii="Times New Roman" w:hAnsi="Times New Roman" w:cs="Times New Roman"/>
          <w:sz w:val="24"/>
          <w:szCs w:val="24"/>
        </w:rPr>
        <w:t xml:space="preserve"> de </w:t>
      </w:r>
      <w:r w:rsidR="002B0B75" w:rsidRPr="004E6B0B">
        <w:rPr>
          <w:rFonts w:ascii="Times New Roman" w:hAnsi="Times New Roman" w:cs="Times New Roman"/>
          <w:sz w:val="24"/>
          <w:szCs w:val="24"/>
        </w:rPr>
        <w:t>junho</w:t>
      </w:r>
      <w:r w:rsidRPr="004E6B0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461844A" w14:textId="77777777" w:rsidR="002500EA" w:rsidRPr="004E6B0B" w:rsidRDefault="002500EA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4285A1" w14:textId="40D19636" w:rsidR="002E42EE" w:rsidRDefault="002E42EE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37C5E73" w14:textId="77777777" w:rsidR="004E6B0B" w:rsidRPr="004E6B0B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2AFA872" w14:textId="77777777" w:rsidR="003C5513" w:rsidRPr="004E6B0B" w:rsidRDefault="003C5513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DE45CFD" w14:textId="77777777" w:rsidR="00477F02" w:rsidRPr="004E6B0B" w:rsidRDefault="00477F02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11340" w:type="dxa"/>
        <w:tblInd w:w="-1140" w:type="dxa"/>
        <w:tblLook w:val="04A0" w:firstRow="1" w:lastRow="0" w:firstColumn="1" w:lastColumn="0" w:noHBand="0" w:noVBand="1"/>
      </w:tblPr>
      <w:tblGrid>
        <w:gridCol w:w="2693"/>
        <w:gridCol w:w="284"/>
        <w:gridCol w:w="1607"/>
        <w:gridCol w:w="1370"/>
        <w:gridCol w:w="1650"/>
        <w:gridCol w:w="902"/>
        <w:gridCol w:w="2834"/>
      </w:tblGrid>
      <w:tr w:rsidR="0036166A" w:rsidRPr="004E6B0B" w14:paraId="77070AFF" w14:textId="77777777" w:rsidTr="004E6B0B">
        <w:trPr>
          <w:trHeight w:val="128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B2317" w14:textId="77777777" w:rsidR="003C5513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2C4A6C3" w14:textId="521166B1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82D0" w14:textId="77777777" w:rsidR="00477F02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ADIR CUNICO</w:t>
            </w:r>
          </w:p>
          <w:p w14:paraId="4BCB5967" w14:textId="77777777" w:rsidR="00477F02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NOVO</w:t>
            </w:r>
          </w:p>
          <w:p w14:paraId="0D3E70F1" w14:textId="77777777" w:rsidR="00477F02" w:rsidRPr="004E6B0B" w:rsidRDefault="00477F02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AF5D5" w14:textId="77777777" w:rsidR="00477F02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F7F88D2" w14:textId="7015C444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39C42B" w14:textId="77777777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DIOGO KRIGUER</w:t>
            </w:r>
          </w:p>
          <w:p w14:paraId="4AB0ADC4" w14:textId="3B2781EF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36166A" w:rsidRPr="004E6B0B" w14:paraId="39152BFC" w14:textId="77777777" w:rsidTr="004E6B0B">
        <w:trPr>
          <w:trHeight w:val="145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AB2F57" w14:textId="77777777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EMERSON FARIAS</w:t>
            </w:r>
          </w:p>
          <w:p w14:paraId="643DCDD3" w14:textId="0443F746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D1CA9" w14:textId="77777777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20DF4CA" w14:textId="53514035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8CFD" w14:textId="77777777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74BAC1" w14:textId="1012C48B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5E8A2" w14:textId="77777777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B0B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4E6B0B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052D61FF" w14:textId="0CAA82EB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36166A" w:rsidRPr="004E6B0B" w14:paraId="042482C4" w14:textId="77777777" w:rsidTr="00BE705C"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A2C87" w14:textId="0E322C74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BRENDO BRAGA</w:t>
            </w:r>
          </w:p>
          <w:p w14:paraId="09D0B457" w14:textId="02BAED25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2E3D8" w14:textId="77777777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TOCO BAGGIO</w:t>
            </w:r>
          </w:p>
          <w:p w14:paraId="26A3110C" w14:textId="4B3B9F46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5090" w14:textId="77777777" w:rsidR="0089035E" w:rsidRPr="004E6B0B" w:rsidRDefault="00881527" w:rsidP="004E6B0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WANDERLEY PAULO</w:t>
            </w:r>
          </w:p>
          <w:p w14:paraId="58D1CFFA" w14:textId="747359BC" w:rsidR="00477F02" w:rsidRPr="004E6B0B" w:rsidRDefault="00881527" w:rsidP="004E6B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4FFAEB2" w14:textId="77777777" w:rsidR="00477F02" w:rsidRPr="004E6B0B" w:rsidRDefault="00477F02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C3D6C49" w14:textId="77777777" w:rsidR="00BE705C" w:rsidRPr="004E6B0B" w:rsidRDefault="00BE705C" w:rsidP="004E6B0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E3AE6F7" w14:textId="3610357F" w:rsidR="00154040" w:rsidRDefault="00154040" w:rsidP="004E6B0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6E123CD" w14:textId="77777777" w:rsidR="004E6B0B" w:rsidRPr="004E6B0B" w:rsidRDefault="004E6B0B" w:rsidP="004E6B0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6522FE" w14:textId="77777777" w:rsidR="00154040" w:rsidRPr="004E6B0B" w:rsidRDefault="00154040" w:rsidP="004E6B0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7A8206" w14:textId="09F743E2" w:rsidR="002500EA" w:rsidRDefault="00881527" w:rsidP="004E6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B0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4E6B0B">
        <w:rPr>
          <w:rFonts w:ascii="Times New Roman" w:hAnsi="Times New Roman" w:cs="Times New Roman"/>
          <w:b/>
          <w:sz w:val="24"/>
          <w:szCs w:val="24"/>
        </w:rPr>
        <w:t>S</w:t>
      </w:r>
    </w:p>
    <w:p w14:paraId="6DF3E3DB" w14:textId="09A31FFE" w:rsidR="004E6B0B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F09D2" w14:textId="77777777" w:rsidR="004E6B0B" w:rsidRPr="004E6B0B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ADADA" w14:textId="77777777" w:rsidR="002500EA" w:rsidRPr="004E6B0B" w:rsidRDefault="002500EA" w:rsidP="004E6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35303" w14:textId="77777777" w:rsidR="00154040" w:rsidRPr="004E6B0B" w:rsidRDefault="00881527" w:rsidP="004E6B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>O presente Projeto de Lei Complementar tem como objetivo a criação de uma Coordenação de Projetos e Programas Institucionais na Câmara Municipal de Sorriso/MT, com o intuito de otimizar a execução de projetos e programas legislativos, administrativos e institucionais. O aprimoramento da gestão pública, a transparência e a eficiência administrativa são desafios que devem ser constantemente enfrentados, e a implementação de uma coordenação específica permitirá um acompanhamento mais rigoroso e um planejamento mais estruturado, contribuindo para o fortalecimento da Câmara Municipal,    visando a aproximação da sociedade ao parlamento municipal, principalmente quanto a participação e atendimento para com a sociedade, como forma de colaborar com a realização de atividades parlamentares e políticas, com o desenvolvimento de programas afim de estreitar e criar lideranças comunitárias e políticas da sociedade. Também por meio dessa função, o Legislativo aprimora e qualifica seus servidores, promove cursos, palestras, projetos e programas abertos à população, estimula a participação dos cidadãos nos debates e soluções de assuntos da cidade, desperta o interesse dos cidadãos pela política. Para melhor atender às referidas ações da Câmara apresenta mais uma opção de valorização e de tornar os profissionais, de forma crescente e permanente, habilitados e capacitados a enfrentar os desafios que são submetidos cotidianamente.</w:t>
      </w:r>
    </w:p>
    <w:p w14:paraId="4372F2F3" w14:textId="77777777" w:rsidR="00BE705C" w:rsidRPr="004E6B0B" w:rsidRDefault="00BE705C" w:rsidP="004E6B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DC1DD0" w14:textId="77777777" w:rsidR="002E42EE" w:rsidRPr="004E6B0B" w:rsidRDefault="002E42EE" w:rsidP="004E6B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2BB0EA65" w:rsidR="006773A7" w:rsidRDefault="00881527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F462E" w:rsidRPr="004E6B0B">
        <w:rPr>
          <w:rFonts w:ascii="Times New Roman" w:hAnsi="Times New Roman" w:cs="Times New Roman"/>
          <w:sz w:val="24"/>
          <w:szCs w:val="24"/>
        </w:rPr>
        <w:t>1</w:t>
      </w:r>
      <w:r w:rsidR="004E6B0B">
        <w:rPr>
          <w:rFonts w:ascii="Times New Roman" w:hAnsi="Times New Roman" w:cs="Times New Roman"/>
          <w:sz w:val="24"/>
          <w:szCs w:val="24"/>
        </w:rPr>
        <w:t>8</w:t>
      </w:r>
      <w:r w:rsidR="00BE705C" w:rsidRPr="004E6B0B">
        <w:rPr>
          <w:rFonts w:ascii="Times New Roman" w:hAnsi="Times New Roman" w:cs="Times New Roman"/>
          <w:sz w:val="24"/>
          <w:szCs w:val="24"/>
        </w:rPr>
        <w:t xml:space="preserve"> de junho</w:t>
      </w:r>
      <w:r w:rsidRPr="004E6B0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D1CF29E" w14:textId="4D0BEAC9" w:rsidR="004E6B0B" w:rsidRDefault="004E6B0B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D3B0AF7" w14:textId="2899F390" w:rsidR="004E6B0B" w:rsidRDefault="004E6B0B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521A904" w14:textId="0564F745" w:rsidR="004E6B0B" w:rsidRDefault="004E6B0B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3EB8C25" w14:textId="77777777" w:rsidR="004E6B0B" w:rsidRPr="004E6B0B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E6C21F6" w14:textId="77777777" w:rsidR="004E6B0B" w:rsidRPr="004E6B0B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11340" w:type="dxa"/>
        <w:tblInd w:w="-1140" w:type="dxa"/>
        <w:tblLook w:val="04A0" w:firstRow="1" w:lastRow="0" w:firstColumn="1" w:lastColumn="0" w:noHBand="0" w:noVBand="1"/>
      </w:tblPr>
      <w:tblGrid>
        <w:gridCol w:w="2693"/>
        <w:gridCol w:w="284"/>
        <w:gridCol w:w="1607"/>
        <w:gridCol w:w="1370"/>
        <w:gridCol w:w="1650"/>
        <w:gridCol w:w="902"/>
        <w:gridCol w:w="2834"/>
      </w:tblGrid>
      <w:tr w:rsidR="004E6B0B" w:rsidRPr="004E6B0B" w14:paraId="437CCEE5" w14:textId="77777777" w:rsidTr="00166030">
        <w:trPr>
          <w:trHeight w:val="128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FAEE3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32C5101C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7CD40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ADIR CUNICO</w:t>
            </w:r>
          </w:p>
          <w:p w14:paraId="3F59EA3D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NOVO</w:t>
            </w:r>
          </w:p>
          <w:p w14:paraId="777C05C4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627B6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DARCI GONÇALVES</w:t>
            </w:r>
          </w:p>
          <w:p w14:paraId="5D5E6687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903B2A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DIOGO KRIGUER</w:t>
            </w:r>
          </w:p>
          <w:p w14:paraId="7D3A5FDE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4E6B0B" w:rsidRPr="004E6B0B" w14:paraId="7FA5549B" w14:textId="77777777" w:rsidTr="00166030">
        <w:trPr>
          <w:trHeight w:val="145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19FBCA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EMERSON FARIAS</w:t>
            </w:r>
          </w:p>
          <w:p w14:paraId="4DDD2AA1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94FCF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8379290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E7A66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JANE DELALIBERA</w:t>
            </w:r>
          </w:p>
          <w:p w14:paraId="2BAA7DF6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6AF1737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B0B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4E6B0B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461A7272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4E6B0B" w:rsidRPr="004E6B0B" w14:paraId="34BFAD82" w14:textId="77777777" w:rsidTr="00166030"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BAC4F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BRENDO BRAGA</w:t>
            </w:r>
          </w:p>
          <w:p w14:paraId="48FDF8B0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A554C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TOCO BAGGIO</w:t>
            </w:r>
          </w:p>
          <w:p w14:paraId="22E72AE3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51DFC" w14:textId="77777777" w:rsidR="004E6B0B" w:rsidRPr="004E6B0B" w:rsidRDefault="004E6B0B" w:rsidP="0016603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B0B">
              <w:rPr>
                <w:rFonts w:ascii="Times New Roman" w:hAnsi="Times New Roman" w:cs="Times New Roman"/>
                <w:b/>
              </w:rPr>
              <w:t>WANDERLEY PAULO</w:t>
            </w:r>
          </w:p>
          <w:p w14:paraId="573C0604" w14:textId="77777777" w:rsidR="004E6B0B" w:rsidRPr="004E6B0B" w:rsidRDefault="004E6B0B" w:rsidP="001660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B0B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387016D7" w14:textId="77777777" w:rsidR="004E6B0B" w:rsidRPr="004E6B0B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F28FBF0" w14:textId="77777777" w:rsidR="004E6B0B" w:rsidRPr="004E6B0B" w:rsidRDefault="004E6B0B" w:rsidP="004E6B0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D6ED009" w14:textId="77777777" w:rsidR="004E6B0B" w:rsidRDefault="004E6B0B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03E9FF7" w14:textId="77777777" w:rsidR="00245DF2" w:rsidRDefault="00245DF2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B9F8C23" w14:textId="77777777" w:rsidR="00245DF2" w:rsidRDefault="00245DF2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7754546C" w14:textId="77777777" w:rsidR="00245DF2" w:rsidRDefault="00245DF2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56AE0B6" w14:textId="77777777" w:rsidR="00245DF2" w:rsidRDefault="00245DF2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173559D5" w14:textId="77777777" w:rsidR="00245DF2" w:rsidRDefault="00245DF2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1D605F5F" w14:textId="77777777" w:rsidR="00245DF2" w:rsidRDefault="00245DF2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17446644" w14:textId="77777777" w:rsidR="00245DF2" w:rsidRPr="00245DF2" w:rsidRDefault="00245DF2" w:rsidP="00245D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</w:pPr>
      <w:r w:rsidRPr="00245DF2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lastRenderedPageBreak/>
        <w:t>PARECER JURÍDICO N</w:t>
      </w:r>
      <w:r w:rsidRPr="00245DF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º</w:t>
      </w:r>
      <w:r w:rsidRPr="00245DF2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. 121-2025</w:t>
      </w:r>
    </w:p>
    <w:p w14:paraId="36140822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en-US"/>
        </w:rPr>
      </w:pPr>
    </w:p>
    <w:p w14:paraId="3988DA7E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en-US"/>
        </w:rPr>
      </w:pPr>
    </w:p>
    <w:p w14:paraId="5232DAF4" w14:textId="77777777" w:rsidR="00245DF2" w:rsidRPr="00245DF2" w:rsidRDefault="00245DF2" w:rsidP="00245DF2">
      <w:pPr>
        <w:spacing w:after="0" w:line="240" w:lineRule="auto"/>
        <w:jc w:val="both"/>
        <w:rPr>
          <w:rFonts w:ascii="PMingLiU-ExtB" w:eastAsia="PMingLiU-ExtB" w:hAnsi="PMingLiU-ExtB" w:cs="Times New Roman"/>
          <w:sz w:val="24"/>
          <w:szCs w:val="24"/>
          <w:bdr w:val="dashDotStroked" w:sz="24" w:space="0" w:color="auto" w:frame="1"/>
          <w:lang w:eastAsia="en-US"/>
        </w:rPr>
      </w:pPr>
      <w:r w:rsidRPr="00245DF2">
        <w:rPr>
          <w:rFonts w:ascii="PMingLiU-ExtB" w:eastAsia="PMingLiU-ExtB" w:hAnsi="PMingLiU-ExtB" w:cs="Times New Roman" w:hint="eastAsia"/>
          <w:sz w:val="24"/>
          <w:szCs w:val="24"/>
          <w:bdr w:val="dashDotStroked" w:sz="24" w:space="0" w:color="auto" w:frame="1"/>
          <w:lang w:eastAsia="en-US"/>
        </w:rPr>
        <w:t xml:space="preserve"> NOTA INICIAL  </w:t>
      </w:r>
    </w:p>
    <w:p w14:paraId="0406B1EA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Calibri" w:hAnsi="Bookman Old Style" w:cs="Times New Roman" w:hint="eastAsia"/>
          <w:sz w:val="24"/>
          <w:szCs w:val="24"/>
          <w:lang w:eastAsia="en-US"/>
        </w:rPr>
      </w:pPr>
    </w:p>
    <w:p w14:paraId="0FE4075F" w14:textId="77777777" w:rsidR="00245DF2" w:rsidRPr="00245DF2" w:rsidRDefault="00245DF2" w:rsidP="00245DF2">
      <w:pPr>
        <w:spacing w:after="0" w:line="240" w:lineRule="auto"/>
        <w:jc w:val="both"/>
        <w:rPr>
          <w:rFonts w:ascii="PMingLiU-ExtB" w:eastAsia="PMingLiU-ExtB" w:hAnsi="PMingLiU-ExtB" w:cs="Times New Roman"/>
          <w:i/>
          <w:iCs/>
          <w:sz w:val="24"/>
          <w:szCs w:val="24"/>
          <w:lang w:eastAsia="en-US"/>
        </w:rPr>
      </w:pP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Ressalta-se que o 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parecer jurídico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 possui 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caráter opinativo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, 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não sendo vinculativo nem impositivo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 à autoridade que o solicita. Assim, 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a decisão final cabe exclusivamente à autoridade competente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, 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que pode adotar ou não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 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as orientações indicadas no parecer</w:t>
      </w:r>
      <w:r w:rsidRPr="00245DF2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>, conforme seu juízo de conveniência e oportunidade, respeitados os limites da legislação aplicável.</w:t>
      </w:r>
    </w:p>
    <w:p w14:paraId="39FB852E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 w:hint="eastAsia"/>
          <w:i/>
          <w:iCs/>
          <w:sz w:val="24"/>
          <w:szCs w:val="24"/>
          <w:lang w:eastAsia="en-US"/>
        </w:rPr>
      </w:pPr>
    </w:p>
    <w:p w14:paraId="0130FBFF" w14:textId="77777777" w:rsidR="00245DF2" w:rsidRPr="00245DF2" w:rsidRDefault="00245DF2" w:rsidP="00245DF2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4F4027A6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>Projeto de Resolução nº 08/2025</w:t>
      </w:r>
    </w:p>
    <w:p w14:paraId="6B3DE61E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40B1F7E5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Assunto</w:t>
      </w:r>
      <w:r w:rsidRPr="00245DF2">
        <w:rPr>
          <w:rFonts w:ascii="Bookman Old Style" w:eastAsia="Times New Roman" w:hAnsi="Bookman Old Style" w:cs="Times New Roman"/>
          <w:i/>
          <w:iCs/>
          <w:sz w:val="26"/>
          <w:szCs w:val="26"/>
        </w:rPr>
        <w:t xml:space="preserve">: </w:t>
      </w:r>
      <w:r w:rsidRPr="00245DF2">
        <w:rPr>
          <w:rFonts w:ascii="Bookman Old Style" w:eastAsia="Times New Roman" w:hAnsi="Bookman Old Style" w:cs="Times New Roman"/>
          <w:sz w:val="26"/>
          <w:szCs w:val="26"/>
        </w:rPr>
        <w:t>Cria a “Escola do Legislativo” no âmbito da Câmara Municipal de Sorriso-MT e dá outras providências.</w:t>
      </w:r>
    </w:p>
    <w:p w14:paraId="067FF4B8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Autoria:</w:t>
      </w:r>
      <w:r w:rsidRPr="00245DF2">
        <w:rPr>
          <w:rFonts w:ascii="Bookman Old Style" w:eastAsia="Times New Roman" w:hAnsi="Bookman Old Style" w:cs="Times New Roman"/>
          <w:i/>
          <w:iCs/>
          <w:sz w:val="26"/>
          <w:szCs w:val="26"/>
        </w:rPr>
        <w:t xml:space="preserve"> </w:t>
      </w: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Vereador Rodrigo </w:t>
      </w:r>
      <w:proofErr w:type="spellStart"/>
      <w:r w:rsidRPr="00245DF2">
        <w:rPr>
          <w:rFonts w:ascii="Bookman Old Style" w:eastAsia="Times New Roman" w:hAnsi="Bookman Old Style" w:cs="Times New Roman"/>
          <w:sz w:val="26"/>
          <w:szCs w:val="26"/>
        </w:rPr>
        <w:t>Matterazzi</w:t>
      </w:r>
      <w:proofErr w:type="spellEnd"/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 e demais subscritores</w:t>
      </w:r>
    </w:p>
    <w:p w14:paraId="75DBF93A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12F523BA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61686192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I - RELATÓRIO</w:t>
      </w:r>
    </w:p>
    <w:p w14:paraId="7C74176B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0CB36DF8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Trata-se da análise do Projeto de Resolução nº 08/2025, de iniciativa do Vereador Rodrigo </w:t>
      </w:r>
      <w:proofErr w:type="spellStart"/>
      <w:r w:rsidRPr="00245DF2">
        <w:rPr>
          <w:rFonts w:ascii="Bookman Old Style" w:eastAsia="Times New Roman" w:hAnsi="Bookman Old Style" w:cs="Times New Roman"/>
          <w:sz w:val="26"/>
          <w:szCs w:val="26"/>
        </w:rPr>
        <w:t>Matterazzi</w:t>
      </w:r>
      <w:proofErr w:type="spellEnd"/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 e subscrito por outros membros do Legislativo, que propõe a criação da “Escola do Legislativo” com o objetivo de promover capacitações, gerir o Museu Legislativo e integrar programas educacionais no âmbito da Câmara Municipal de Sorriso-MT.</w:t>
      </w:r>
    </w:p>
    <w:p w14:paraId="5A8E6D94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250EA03B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3D25CCA1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II - FUNDAMENTAÇÃO JURÍDICA</w:t>
      </w:r>
    </w:p>
    <w:p w14:paraId="6E28041E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032E59E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A proposição encontra respaldo legal na Lei Orgânica do Município de Sorriso, que garante a autonomia administrativa e legislativa do Poder Legislativo Municipal - art. 2º e art. 13º, inciso II. </w:t>
      </w:r>
    </w:p>
    <w:p w14:paraId="0B9F9579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043609D8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</w:pPr>
      <w:r w:rsidRPr="00245DF2"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  <w:t>Art. 2º</w:t>
      </w:r>
      <w:r w:rsidRPr="00245DF2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 xml:space="preserve"> São poderes do Município, independentes e harmônicos entre si, o Legislativo e o Executivo.</w:t>
      </w:r>
    </w:p>
    <w:p w14:paraId="28245081" w14:textId="77777777" w:rsidR="00245DF2" w:rsidRPr="00245DF2" w:rsidRDefault="00245DF2" w:rsidP="00245DF2">
      <w:pPr>
        <w:spacing w:after="0" w:line="240" w:lineRule="auto"/>
        <w:ind w:left="2268"/>
        <w:jc w:val="both"/>
        <w:rPr>
          <w:rFonts w:ascii="Bookman Old Style" w:eastAsia="Times New Roman" w:hAnsi="Bookman Old Style" w:cs="Times New Roman"/>
          <w:i/>
          <w:iCs/>
          <w:sz w:val="26"/>
          <w:szCs w:val="26"/>
        </w:rPr>
      </w:pPr>
    </w:p>
    <w:p w14:paraId="14311EB6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</w:pPr>
      <w:r w:rsidRPr="00245DF2"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  <w:t>Art. 13</w:t>
      </w:r>
      <w:r w:rsidRPr="00245DF2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>. É da competência exclusiva da Câmara Municipal:</w:t>
      </w:r>
    </w:p>
    <w:p w14:paraId="3B73E849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</w:pPr>
      <w:r w:rsidRPr="00245DF2"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  <w:t>(...)</w:t>
      </w:r>
    </w:p>
    <w:p w14:paraId="68A30CE3" w14:textId="77777777" w:rsidR="00245DF2" w:rsidRPr="00245DF2" w:rsidRDefault="00245DF2" w:rsidP="00245DF2">
      <w:pPr>
        <w:tabs>
          <w:tab w:val="left" w:pos="8640"/>
        </w:tabs>
        <w:spacing w:after="160" w:line="256" w:lineRule="auto"/>
        <w:rPr>
          <w:rFonts w:ascii="Bookman Old Style" w:eastAsia="Times New Roman" w:hAnsi="Bookman Old Style" w:cs="Arial"/>
          <w:sz w:val="26"/>
          <w:szCs w:val="26"/>
          <w:lang w:eastAsia="en-US"/>
        </w:rPr>
      </w:pPr>
      <w:r w:rsidRPr="00245DF2">
        <w:rPr>
          <w:rFonts w:ascii="Bookman Old Style" w:eastAsia="Times New Roman" w:hAnsi="Bookman Old Style" w:cs="Arial"/>
          <w:sz w:val="26"/>
          <w:szCs w:val="26"/>
          <w:lang w:eastAsia="en-US"/>
        </w:rPr>
        <w:tab/>
      </w:r>
    </w:p>
    <w:p w14:paraId="52324E89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Arial" w:eastAsia="Times New Roman" w:hAnsi="Arial" w:cs="Arial"/>
          <w:sz w:val="26"/>
          <w:szCs w:val="26"/>
          <w:lang w:eastAsia="en-US"/>
        </w:rPr>
      </w:pPr>
      <w:r w:rsidRPr="00245DF2"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  <w:lastRenderedPageBreak/>
        <w:t>II -</w:t>
      </w:r>
      <w:r w:rsidRPr="00245DF2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 xml:space="preserve"> </w:t>
      </w:r>
      <w:proofErr w:type="gramStart"/>
      <w:r w:rsidRPr="00245DF2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>dispor</w:t>
      </w:r>
      <w:proofErr w:type="gramEnd"/>
      <w:r w:rsidRPr="00245DF2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 xml:space="preserve"> sobre sua organização, funcionamento, criação e transformação ou extinção de cargos, empregos e funções de seus serviços e fixação da respectiva remuneração, observados os parâmetros estabelecidos na lei de diretrizes orçamentárias;</w:t>
      </w:r>
    </w:p>
    <w:p w14:paraId="6EFBB116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48C59898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>Assiste ainda no Regimento Interno da Câmara Municipal, que em seu art. 108 permite aos vereadores a apresentação de projetos de resolução para assuntos de interesse interno da Câmara.</w:t>
      </w:r>
    </w:p>
    <w:p w14:paraId="5F7BE5F2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2F314FE1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1D231D9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</w:pP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en-US"/>
        </w:rPr>
        <w:t>Art. 108.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A Câmara Municipal </w:t>
      </w: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en-US"/>
        </w:rPr>
        <w:t>exerce a função legislativa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</w:t>
      </w: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en-US"/>
        </w:rPr>
        <w:t>por via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de 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u w:val="single"/>
          <w:lang w:eastAsia="en-US"/>
        </w:rPr>
        <w:t>projeto de lei ordinária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ou 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u w:val="single"/>
          <w:lang w:eastAsia="en-US"/>
        </w:rPr>
        <w:t>complementar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, de 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u w:val="single"/>
          <w:lang w:eastAsia="en-US"/>
        </w:rPr>
        <w:t>decreto legislativo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ou </w:t>
      </w: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u w:val="single"/>
          <w:lang w:eastAsia="en-US"/>
        </w:rPr>
        <w:t>de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</w:t>
      </w: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u w:val="single"/>
          <w:lang w:eastAsia="en-US"/>
        </w:rPr>
        <w:t>RESOLUÇÃO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u w:val="single"/>
          <w:lang w:eastAsia="en-US"/>
        </w:rPr>
        <w:t xml:space="preserve">, de proposta de emenda à </w:t>
      </w:r>
      <w:hyperlink r:id="rId6" w:history="1">
        <w:r w:rsidRPr="00245DF2">
          <w:rPr>
            <w:rFonts w:ascii="Bookman Old Style" w:eastAsia="Calibri" w:hAnsi="Bookman Old Style" w:cs="Arial"/>
            <w:i/>
            <w:iCs/>
            <w:color w:val="0000FF"/>
            <w:sz w:val="24"/>
            <w:szCs w:val="24"/>
            <w:u w:val="single"/>
            <w:lang w:eastAsia="en-US"/>
          </w:rPr>
          <w:t>Lei Orgânica do Município</w:t>
        </w:r>
      </w:hyperlink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, 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u w:val="single"/>
          <w:lang w:eastAsia="en-US"/>
        </w:rPr>
        <w:t>além da conversão de medidas provisória em Lei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>.</w:t>
      </w:r>
      <w:bookmarkStart w:id="0" w:name="a109"/>
      <w:bookmarkEnd w:id="0"/>
    </w:p>
    <w:p w14:paraId="47CF13C5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en-US"/>
        </w:rPr>
      </w:pPr>
    </w:p>
    <w:p w14:paraId="6E364069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</w:pP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en-US"/>
        </w:rPr>
        <w:t>Art. 109.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Destinam-se os 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u w:val="single"/>
          <w:lang w:eastAsia="en-US"/>
        </w:rPr>
        <w:t>projetos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>:</w:t>
      </w:r>
    </w:p>
    <w:p w14:paraId="3251DFCD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</w:pP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>(...)</w:t>
      </w:r>
    </w:p>
    <w:p w14:paraId="0A03856E" w14:textId="77777777" w:rsidR="00245DF2" w:rsidRPr="00245DF2" w:rsidRDefault="00245DF2" w:rsidP="00245DF2">
      <w:pPr>
        <w:spacing w:after="160" w:line="256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en-US"/>
        </w:rPr>
        <w:t>III -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 </w:t>
      </w:r>
      <w:r w:rsidRPr="00245DF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u w:val="single"/>
          <w:lang w:eastAsia="en-US"/>
        </w:rPr>
        <w:t>de resolução a regular</w:t>
      </w:r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 xml:space="preserve">, com eficácia de </w:t>
      </w:r>
      <w:hyperlink r:id="rId7" w:history="1">
        <w:r w:rsidRPr="00245DF2">
          <w:rPr>
            <w:rFonts w:ascii="Bookman Old Style" w:eastAsia="Calibri" w:hAnsi="Bookman Old Style" w:cs="Arial"/>
            <w:i/>
            <w:iCs/>
            <w:color w:val="0000FF"/>
            <w:sz w:val="24"/>
            <w:szCs w:val="24"/>
            <w:u w:val="single"/>
            <w:lang w:eastAsia="en-US"/>
          </w:rPr>
          <w:t>Lei Orgânica</w:t>
        </w:r>
      </w:hyperlink>
      <w:r w:rsidRPr="00245DF2">
        <w:rPr>
          <w:rFonts w:ascii="Bookman Old Style" w:eastAsia="Times New Roman" w:hAnsi="Bookman Old Style" w:cs="Arial"/>
          <w:i/>
          <w:iCs/>
          <w:sz w:val="24"/>
          <w:szCs w:val="24"/>
          <w:lang w:eastAsia="en-US"/>
        </w:rPr>
        <w:t>, matéria de competência privativa da Câmara Municipal de caráter político processual, legislativa ou administrativa (...)</w:t>
      </w:r>
    </w:p>
    <w:p w14:paraId="44228B27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7C4127DD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6AA33B2D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A criação da Escola do Legislativo está alinhada com os princípios constitucionais da </w:t>
      </w: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eficiência administrativa</w:t>
      </w: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 (art. 37 da CF/88) e da </w:t>
      </w: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educação para a cidadania</w:t>
      </w: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 (art. 205 da CF/88). </w:t>
      </w:r>
    </w:p>
    <w:p w14:paraId="13220AC9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C0487E7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74DE7C4F" w14:textId="77777777" w:rsidR="00245DF2" w:rsidRPr="00245DF2" w:rsidRDefault="00245DF2" w:rsidP="00245DF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</w:rPr>
      </w:pPr>
      <w:r w:rsidRPr="00245DF2">
        <w:rPr>
          <w:rFonts w:ascii="Bookman Old Style" w:eastAsia="Calibri" w:hAnsi="Bookman Old Style" w:cs="ArialMT"/>
          <w:b/>
          <w:bCs/>
          <w:i/>
          <w:iCs/>
          <w:sz w:val="24"/>
          <w:szCs w:val="24"/>
          <w:lang w:eastAsia="en-US"/>
        </w:rPr>
        <w:t>Art. 205.</w:t>
      </w:r>
      <w:r w:rsidRPr="00245DF2">
        <w:rPr>
          <w:rFonts w:ascii="Bookman Old Style" w:eastAsia="Calibri" w:hAnsi="Bookman Old Style" w:cs="ArialMT"/>
          <w:i/>
          <w:iCs/>
          <w:sz w:val="24"/>
          <w:szCs w:val="24"/>
          <w:lang w:eastAsia="en-US"/>
        </w:rPr>
        <w:t xml:space="preserve"> A educação, direito de todos e dever do Estado e da família, será promovida e incentivada com a colaboração da sociedade, visando ao pleno desenvolvimento da pessoa, seu preparo para o exercício da cidadania e sua qualificação para o trabalho.</w:t>
      </w:r>
    </w:p>
    <w:p w14:paraId="1653E946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2C28DE99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>Trata-se de iniciativa que reforça o papel pedagógico do Parlamento e amplia os canais de interlocução com a sociedade.</w:t>
      </w:r>
    </w:p>
    <w:p w14:paraId="36F067F4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3FD0C359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lastRenderedPageBreak/>
        <w:t xml:space="preserve">Regimentalmente, por tratar de matéria de organização interna da Câmara e não criar despesa ao Executivo, o projeto tramita sob a forma de </w:t>
      </w: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resolução</w:t>
      </w:r>
      <w:r w:rsidRPr="00245DF2">
        <w:rPr>
          <w:rFonts w:ascii="Bookman Old Style" w:eastAsia="Times New Roman" w:hAnsi="Bookman Old Style" w:cs="Times New Roman"/>
          <w:sz w:val="26"/>
          <w:szCs w:val="26"/>
        </w:rPr>
        <w:t>, conforme no Regimento Interno.</w:t>
      </w:r>
    </w:p>
    <w:p w14:paraId="46E300A7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0D9CDFE9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Do ponto de vista da </w:t>
      </w: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>legalidade</w:t>
      </w:r>
      <w:r w:rsidRPr="00245DF2">
        <w:rPr>
          <w:rFonts w:ascii="Bookman Old Style" w:eastAsia="Times New Roman" w:hAnsi="Bookman Old Style" w:cs="Times New Roman"/>
          <w:sz w:val="26"/>
          <w:szCs w:val="26"/>
        </w:rPr>
        <w:t>, o projeto não apresenta vícios formais ou materiais, respeitando os princípios da legalidade, moralidade, publicidade e eficiência, e prevê a inclusão das despesas em dotação orçamentária própria, nos termos do art. 11 do projeto.</w:t>
      </w:r>
    </w:p>
    <w:p w14:paraId="5646ADEF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708B7DD1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Digno de registro, por oportuno que a criação da Escola do Legislativo, como proposto, atende diversos princípios fundamentais da Administração Pública e da gestão democrática, dentre os quais se destacam a Eficiência, a Profissionalização e Qualificação dos Servidores, A Transparência e Aprimoramento do Controle Social, Legalidade e Moralidade, Desenvolvimento Institucional, dentre outros. </w:t>
      </w:r>
    </w:p>
    <w:p w14:paraId="3266AC85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27F52BE1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A medida ainda democratiza o acesso à capacitação, atualização e aprimoramento entre os servidores, reduzindo de forma significativa os gastos com o deslocamento de servidores para treinamentos, </w:t>
      </w:r>
      <w:r w:rsidRPr="00245DF2">
        <w:rPr>
          <w:rFonts w:ascii="Bookman Old Style" w:eastAsia="Times New Roman" w:hAnsi="Bookman Old Style" w:cs="Times New Roman"/>
          <w:i/>
          <w:iCs/>
          <w:sz w:val="26"/>
          <w:szCs w:val="26"/>
        </w:rPr>
        <w:t>workshops,</w:t>
      </w: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 dentre outros. </w:t>
      </w:r>
    </w:p>
    <w:p w14:paraId="03A12E1C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597293B4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b/>
          <w:bCs/>
          <w:sz w:val="26"/>
          <w:szCs w:val="26"/>
        </w:rPr>
        <w:t xml:space="preserve">DERRADEIRAS DELIBERAÇÕES </w:t>
      </w:r>
    </w:p>
    <w:p w14:paraId="1B994EB0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636C77CC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533CC059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245DF2">
        <w:rPr>
          <w:rFonts w:ascii="Bookman Old Style" w:eastAsia="Times New Roman" w:hAnsi="Bookman Old Style" w:cs="Times New Roman"/>
          <w:sz w:val="26"/>
          <w:szCs w:val="26"/>
        </w:rPr>
        <w:t xml:space="preserve">Diante do exposto, </w:t>
      </w:r>
      <w:r w:rsidRPr="00245DF2">
        <w:rPr>
          <w:rFonts w:ascii="Bookman Old Style" w:eastAsia="MS Mincho" w:hAnsi="Bookman Old Style" w:cs="Times New Roman"/>
          <w:b/>
          <w:bCs/>
          <w:sz w:val="26"/>
          <w:szCs w:val="26"/>
        </w:rPr>
        <w:t>não se vislumbra inconstitucionalidade, ilegalidade ou vício formal ou material</w:t>
      </w:r>
      <w:r w:rsidRPr="00245DF2">
        <w:rPr>
          <w:rFonts w:ascii="Bookman Old Style" w:eastAsia="MS Mincho" w:hAnsi="Bookman Old Style" w:cs="Times New Roman"/>
          <w:sz w:val="26"/>
          <w:szCs w:val="26"/>
        </w:rPr>
        <w:t xml:space="preserve"> no Projeto de Resolução nº 008/2025, </w:t>
      </w:r>
      <w:r w:rsidRPr="00245DF2">
        <w:rPr>
          <w:rFonts w:ascii="Bookman Old Style" w:eastAsia="Calibri" w:hAnsi="Bookman Old Style" w:cs="Times New Roman"/>
          <w:b/>
          <w:bCs/>
          <w:sz w:val="26"/>
          <w:szCs w:val="26"/>
          <w:lang w:eastAsia="en-US"/>
        </w:rPr>
        <w:t>não há óbices jurídicos</w:t>
      </w:r>
      <w:r w:rsidRPr="00245DF2">
        <w:rPr>
          <w:rFonts w:ascii="Bookman Old Style" w:eastAsia="Calibri" w:hAnsi="Bookman Old Style" w:cs="Times New Roman"/>
          <w:sz w:val="26"/>
          <w:szCs w:val="26"/>
          <w:lang w:eastAsia="en-US"/>
        </w:rPr>
        <w:t xml:space="preserve"> à sua tramitação, recomendando-se o regular prosseguimento do processo legislativo.</w:t>
      </w:r>
    </w:p>
    <w:p w14:paraId="5CABFE1B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4D40419A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5218B16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62E1922C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245DF2">
        <w:rPr>
          <w:rFonts w:ascii="Book Antiqua" w:eastAsia="Calibri" w:hAnsi="Book Antiqua" w:cs="Arial"/>
          <w:sz w:val="24"/>
          <w:szCs w:val="24"/>
          <w:lang w:eastAsia="en-US"/>
        </w:rPr>
        <w:t>É o parecer, Salvo Melhor Juízo.</w:t>
      </w:r>
    </w:p>
    <w:p w14:paraId="02B19142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711E3A56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</w:rPr>
      </w:pPr>
      <w:r w:rsidRPr="00245DF2">
        <w:rPr>
          <w:rFonts w:ascii="Book Antiqua" w:eastAsia="Calibri" w:hAnsi="Book Antiqua" w:cs="Times New Roman"/>
          <w:sz w:val="24"/>
          <w:szCs w:val="24"/>
        </w:rPr>
        <w:t>Sorriso/MT, 24 de junho de 2025.</w:t>
      </w:r>
    </w:p>
    <w:p w14:paraId="2FB0D946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E8C2FB8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30F5ECA" w14:textId="77777777" w:rsidR="00245DF2" w:rsidRPr="00245DF2" w:rsidRDefault="00245DF2" w:rsidP="00245DF2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FB44706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45DF2">
        <w:rPr>
          <w:rFonts w:ascii="Bookman Old Style" w:eastAsia="Times New Roman" w:hAnsi="Bookman Old Style" w:cs="Times New Roman"/>
          <w:sz w:val="24"/>
          <w:szCs w:val="24"/>
        </w:rPr>
        <w:t>___________________________________</w:t>
      </w:r>
      <w:r w:rsidRPr="00245D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45DF2">
        <w:rPr>
          <w:rFonts w:ascii="Bookman Old Style" w:eastAsia="Times New Roman" w:hAnsi="Bookman Old Style" w:cs="Times New Roman"/>
          <w:sz w:val="24"/>
          <w:szCs w:val="24"/>
        </w:rPr>
        <w:tab/>
        <w:t>_________________________________________</w:t>
      </w:r>
    </w:p>
    <w:p w14:paraId="12156A47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45DF2">
        <w:rPr>
          <w:rFonts w:ascii="Bookman Old Style" w:eastAsia="Times New Roman" w:hAnsi="Bookman Old Style" w:cs="Times New Roman"/>
          <w:sz w:val="24"/>
          <w:szCs w:val="24"/>
        </w:rPr>
        <w:t xml:space="preserve">Fernando </w:t>
      </w:r>
      <w:r w:rsidRPr="00245DF2">
        <w:rPr>
          <w:rFonts w:ascii="Bookman Old Style" w:eastAsia="Times New Roman" w:hAnsi="Bookman Old Style" w:cs="Times New Roman"/>
          <w:b/>
          <w:bCs/>
          <w:sz w:val="24"/>
          <w:szCs w:val="24"/>
        </w:rPr>
        <w:t>MASCARELLO</w:t>
      </w:r>
      <w:r w:rsidRPr="00245D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245D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45D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45D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45DF2">
        <w:rPr>
          <w:rFonts w:ascii="Bookman Old Style" w:eastAsia="Calibri" w:hAnsi="Bookman Old Style" w:cs="Times New Roman"/>
          <w:b/>
          <w:bCs/>
          <w:sz w:val="24"/>
          <w:szCs w:val="24"/>
        </w:rPr>
        <w:t>SAULO</w:t>
      </w:r>
      <w:r w:rsidRPr="00245DF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245DF2">
        <w:rPr>
          <w:rFonts w:ascii="Bookman Old Style" w:eastAsia="Calibri" w:hAnsi="Bookman Old Style" w:cs="Times New Roman"/>
          <w:sz w:val="16"/>
          <w:szCs w:val="16"/>
        </w:rPr>
        <w:t xml:space="preserve">Augusto C. </w:t>
      </w:r>
      <w:proofErr w:type="spellStart"/>
      <w:r w:rsidRPr="00245DF2">
        <w:rPr>
          <w:rFonts w:ascii="Bookman Old Style" w:eastAsia="Calibri" w:hAnsi="Bookman Old Style" w:cs="Times New Roman"/>
          <w:sz w:val="16"/>
          <w:szCs w:val="16"/>
        </w:rPr>
        <w:t>da</w:t>
      </w:r>
      <w:proofErr w:type="spellEnd"/>
      <w:r w:rsidRPr="00245DF2">
        <w:rPr>
          <w:rFonts w:ascii="Bookman Old Style" w:eastAsia="Calibri" w:hAnsi="Bookman Old Style" w:cs="Times New Roman"/>
          <w:sz w:val="16"/>
          <w:szCs w:val="16"/>
        </w:rPr>
        <w:t xml:space="preserve"> R.</w:t>
      </w:r>
      <w:r w:rsidRPr="00245DF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245DF2">
        <w:rPr>
          <w:rFonts w:ascii="Bookman Old Style" w:eastAsia="Calibri" w:hAnsi="Bookman Old Style" w:cs="Times New Roman"/>
          <w:b/>
          <w:bCs/>
          <w:sz w:val="24"/>
          <w:szCs w:val="24"/>
        </w:rPr>
        <w:t>BANDEIRA</w:t>
      </w:r>
      <w:r w:rsidRPr="00245DF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245DF2">
        <w:rPr>
          <w:rFonts w:ascii="Bookman Old Style" w:eastAsia="Calibri" w:hAnsi="Bookman Old Style" w:cs="Times New Roman"/>
          <w:sz w:val="16"/>
          <w:szCs w:val="16"/>
        </w:rPr>
        <w:t>Bastos</w:t>
      </w:r>
    </w:p>
    <w:p w14:paraId="5A9AE901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</w:rPr>
      </w:pPr>
      <w:r w:rsidRPr="00245DF2">
        <w:rPr>
          <w:rFonts w:ascii="Bookman Old Style" w:eastAsia="Calibri" w:hAnsi="Bookman Old Style" w:cs="Times New Roman"/>
          <w:sz w:val="16"/>
          <w:szCs w:val="16"/>
        </w:rPr>
        <w:t>Câmara Municipal de Sorriso – MT</w:t>
      </w:r>
      <w:r w:rsidRPr="00245DF2">
        <w:rPr>
          <w:rFonts w:ascii="Bookman Old Style" w:eastAsia="Calibri" w:hAnsi="Bookman Old Style" w:cs="Times New Roman"/>
          <w:sz w:val="16"/>
          <w:szCs w:val="16"/>
        </w:rPr>
        <w:tab/>
      </w:r>
      <w:r w:rsidRPr="00245DF2">
        <w:rPr>
          <w:rFonts w:ascii="Bookman Old Style" w:eastAsia="Calibri" w:hAnsi="Bookman Old Style" w:cs="Times New Roman"/>
          <w:sz w:val="16"/>
          <w:szCs w:val="16"/>
        </w:rPr>
        <w:tab/>
      </w:r>
      <w:r w:rsidRPr="00245DF2">
        <w:rPr>
          <w:rFonts w:ascii="Bookman Old Style" w:eastAsia="Calibri" w:hAnsi="Bookman Old Style" w:cs="Times New Roman"/>
          <w:sz w:val="16"/>
          <w:szCs w:val="16"/>
        </w:rPr>
        <w:tab/>
      </w:r>
      <w:r w:rsidRPr="00245DF2">
        <w:rPr>
          <w:rFonts w:ascii="Bookman Old Style" w:eastAsia="Calibri" w:hAnsi="Bookman Old Style" w:cs="Times New Roman"/>
          <w:sz w:val="16"/>
          <w:szCs w:val="16"/>
        </w:rPr>
        <w:tab/>
        <w:t>Câmara Municipal de Sorriso – MT</w:t>
      </w:r>
      <w:r w:rsidRPr="00245DF2">
        <w:rPr>
          <w:rFonts w:ascii="Bookman Old Style" w:eastAsia="Calibri" w:hAnsi="Bookman Old Style" w:cs="Times New Roman"/>
          <w:sz w:val="16"/>
          <w:szCs w:val="16"/>
        </w:rPr>
        <w:tab/>
      </w:r>
    </w:p>
    <w:p w14:paraId="03E9A295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</w:rPr>
      </w:pPr>
      <w:r w:rsidRPr="00245DF2">
        <w:rPr>
          <w:rFonts w:ascii="Bookman Old Style" w:eastAsia="Times New Roman" w:hAnsi="Bookman Old Style" w:cs="Times New Roman"/>
          <w:sz w:val="16"/>
          <w:szCs w:val="16"/>
        </w:rPr>
        <w:t>Assessor Especial</w:t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Calibri" w:hAnsi="Bookman Old Style" w:cs="Times New Roman"/>
          <w:sz w:val="16"/>
          <w:szCs w:val="16"/>
        </w:rPr>
        <w:t>Assessor Jurídico da Procuradoria</w:t>
      </w:r>
    </w:p>
    <w:p w14:paraId="350EF217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</w:rPr>
      </w:pPr>
      <w:r w:rsidRPr="00245DF2">
        <w:rPr>
          <w:rFonts w:ascii="Bookman Old Style" w:eastAsia="Times New Roman" w:hAnsi="Bookman Old Style" w:cs="Times New Roman"/>
          <w:sz w:val="16"/>
          <w:szCs w:val="16"/>
        </w:rPr>
        <w:t>OAB/ MT 11.726</w:t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Calibri" w:hAnsi="Bookman Old Style" w:cs="Times New Roman"/>
          <w:sz w:val="16"/>
          <w:szCs w:val="16"/>
        </w:rPr>
        <w:t>OAB/MT nº. 10.525</w:t>
      </w:r>
    </w:p>
    <w:p w14:paraId="196A2C88" w14:textId="77777777" w:rsidR="00245DF2" w:rsidRPr="00245DF2" w:rsidRDefault="00245DF2" w:rsidP="00245DF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45DF2">
        <w:rPr>
          <w:rFonts w:ascii="Bookman Old Style" w:eastAsia="Times New Roman" w:hAnsi="Bookman Old Style" w:cs="Times New Roman"/>
          <w:sz w:val="16"/>
          <w:szCs w:val="16"/>
        </w:rPr>
        <w:t>Portaria n. 109/2025</w:t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245DF2">
        <w:rPr>
          <w:rFonts w:ascii="Bookman Old Style" w:eastAsia="Times New Roman" w:hAnsi="Bookman Old Style" w:cs="Times New Roman"/>
          <w:sz w:val="16"/>
          <w:szCs w:val="16"/>
        </w:rPr>
        <w:tab/>
        <w:t>Portaria nº 038/2025</w:t>
      </w:r>
    </w:p>
    <w:p w14:paraId="0B1527A8" w14:textId="77777777" w:rsidR="00245DF2" w:rsidRPr="004E6B0B" w:rsidRDefault="00245DF2" w:rsidP="004E6B0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245DF2" w:rsidRPr="004E6B0B" w:rsidSect="004E6B0B">
      <w:footerReference w:type="default" r:id="rId8"/>
      <w:pgSz w:w="11906" w:h="16838"/>
      <w:pgMar w:top="2410" w:right="849" w:bottom="1135" w:left="1134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B959" w14:textId="77777777" w:rsidR="00782622" w:rsidRDefault="00782622">
      <w:pPr>
        <w:spacing w:after="0" w:line="240" w:lineRule="auto"/>
      </w:pPr>
      <w:r>
        <w:separator/>
      </w:r>
    </w:p>
  </w:endnote>
  <w:endnote w:type="continuationSeparator" w:id="0">
    <w:p w14:paraId="3C7306D4" w14:textId="77777777" w:rsidR="00782622" w:rsidRDefault="0078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4054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FCF225" w14:textId="5B11D137" w:rsidR="004E6B0B" w:rsidRDefault="004E6B0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8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8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51B5" w14:textId="77777777" w:rsidR="00782622" w:rsidRDefault="00782622">
      <w:pPr>
        <w:spacing w:after="0" w:line="240" w:lineRule="auto"/>
      </w:pPr>
      <w:r>
        <w:separator/>
      </w:r>
    </w:p>
  </w:footnote>
  <w:footnote w:type="continuationSeparator" w:id="0">
    <w:p w14:paraId="2B27BEBF" w14:textId="77777777" w:rsidR="00782622" w:rsidRDefault="00782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05253"/>
    <w:rsid w:val="00007909"/>
    <w:rsid w:val="000170B2"/>
    <w:rsid w:val="00087232"/>
    <w:rsid w:val="00094386"/>
    <w:rsid w:val="000B3842"/>
    <w:rsid w:val="000C238B"/>
    <w:rsid w:val="00110B8F"/>
    <w:rsid w:val="0012314A"/>
    <w:rsid w:val="00143512"/>
    <w:rsid w:val="00154040"/>
    <w:rsid w:val="00176C93"/>
    <w:rsid w:val="001C2639"/>
    <w:rsid w:val="001C3C40"/>
    <w:rsid w:val="001D7397"/>
    <w:rsid w:val="001E30B9"/>
    <w:rsid w:val="001F3441"/>
    <w:rsid w:val="0022192A"/>
    <w:rsid w:val="00232B9D"/>
    <w:rsid w:val="00245DF2"/>
    <w:rsid w:val="002500EA"/>
    <w:rsid w:val="002523C1"/>
    <w:rsid w:val="0029375A"/>
    <w:rsid w:val="0029422F"/>
    <w:rsid w:val="002971C3"/>
    <w:rsid w:val="002B0B75"/>
    <w:rsid w:val="002E42EE"/>
    <w:rsid w:val="00301DA4"/>
    <w:rsid w:val="00311653"/>
    <w:rsid w:val="00332373"/>
    <w:rsid w:val="00343206"/>
    <w:rsid w:val="0036166A"/>
    <w:rsid w:val="00362B6A"/>
    <w:rsid w:val="00375F2E"/>
    <w:rsid w:val="003A0614"/>
    <w:rsid w:val="003C5513"/>
    <w:rsid w:val="003C7E13"/>
    <w:rsid w:val="003D1700"/>
    <w:rsid w:val="003E60B3"/>
    <w:rsid w:val="004177B3"/>
    <w:rsid w:val="00425A0F"/>
    <w:rsid w:val="00441DFC"/>
    <w:rsid w:val="00445B7C"/>
    <w:rsid w:val="00471EE3"/>
    <w:rsid w:val="00477F02"/>
    <w:rsid w:val="00491996"/>
    <w:rsid w:val="004C35F0"/>
    <w:rsid w:val="004D70D0"/>
    <w:rsid w:val="004E6B0B"/>
    <w:rsid w:val="004F60F9"/>
    <w:rsid w:val="00564C9E"/>
    <w:rsid w:val="005D0FF9"/>
    <w:rsid w:val="005F2ACD"/>
    <w:rsid w:val="006563E0"/>
    <w:rsid w:val="006773A7"/>
    <w:rsid w:val="006B3D0E"/>
    <w:rsid w:val="006C5EFD"/>
    <w:rsid w:val="006F6106"/>
    <w:rsid w:val="00715895"/>
    <w:rsid w:val="00720D66"/>
    <w:rsid w:val="00782622"/>
    <w:rsid w:val="00794233"/>
    <w:rsid w:val="007F3BE8"/>
    <w:rsid w:val="008162CF"/>
    <w:rsid w:val="0083481A"/>
    <w:rsid w:val="00876371"/>
    <w:rsid w:val="00877156"/>
    <w:rsid w:val="00881527"/>
    <w:rsid w:val="00885878"/>
    <w:rsid w:val="0089035E"/>
    <w:rsid w:val="008A7966"/>
    <w:rsid w:val="008E38D1"/>
    <w:rsid w:val="008E6557"/>
    <w:rsid w:val="008F2693"/>
    <w:rsid w:val="00912DDC"/>
    <w:rsid w:val="00917E03"/>
    <w:rsid w:val="00924E6E"/>
    <w:rsid w:val="00941010"/>
    <w:rsid w:val="009664CB"/>
    <w:rsid w:val="009A4DFF"/>
    <w:rsid w:val="009F3D0A"/>
    <w:rsid w:val="009F457D"/>
    <w:rsid w:val="00A0712B"/>
    <w:rsid w:val="00A24565"/>
    <w:rsid w:val="00A427AD"/>
    <w:rsid w:val="00A56317"/>
    <w:rsid w:val="00A70261"/>
    <w:rsid w:val="00A95B69"/>
    <w:rsid w:val="00AA593C"/>
    <w:rsid w:val="00AF462E"/>
    <w:rsid w:val="00B23AB0"/>
    <w:rsid w:val="00B323E6"/>
    <w:rsid w:val="00B62A34"/>
    <w:rsid w:val="00B66629"/>
    <w:rsid w:val="00B778E6"/>
    <w:rsid w:val="00BC339C"/>
    <w:rsid w:val="00BC4DCA"/>
    <w:rsid w:val="00BE705C"/>
    <w:rsid w:val="00C0277F"/>
    <w:rsid w:val="00C2663A"/>
    <w:rsid w:val="00C533FC"/>
    <w:rsid w:val="00C54AE3"/>
    <w:rsid w:val="00C72DE2"/>
    <w:rsid w:val="00C92621"/>
    <w:rsid w:val="00CD2F30"/>
    <w:rsid w:val="00CE6EFE"/>
    <w:rsid w:val="00D22012"/>
    <w:rsid w:val="00D54F20"/>
    <w:rsid w:val="00DA1EA4"/>
    <w:rsid w:val="00DC4091"/>
    <w:rsid w:val="00E46042"/>
    <w:rsid w:val="00E4658A"/>
    <w:rsid w:val="00E55B6C"/>
    <w:rsid w:val="00E85BE5"/>
    <w:rsid w:val="00E9345F"/>
    <w:rsid w:val="00EE40BC"/>
    <w:rsid w:val="00F0677C"/>
    <w:rsid w:val="00F15E04"/>
    <w:rsid w:val="00F16A21"/>
    <w:rsid w:val="00F2232D"/>
    <w:rsid w:val="00F623A6"/>
    <w:rsid w:val="00F716BB"/>
    <w:rsid w:val="00F76E25"/>
    <w:rsid w:val="00F905A7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ACEB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5D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uario\Downloads\visualizarDiploma.php%3fcdMunicipio=4430&amp;cdDiploma=20215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uario\Downloads\visualizarDiploma.php%3fcdMunicipio=4430&amp;cdDiploma=2021505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2190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Secretaria</cp:lastModifiedBy>
  <cp:revision>8</cp:revision>
  <cp:lastPrinted>2025-02-26T14:50:00Z</cp:lastPrinted>
  <dcterms:created xsi:type="dcterms:W3CDTF">2025-06-10T15:47:00Z</dcterms:created>
  <dcterms:modified xsi:type="dcterms:W3CDTF">2025-07-03T15:12:00Z</dcterms:modified>
</cp:coreProperties>
</file>