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DE55" w14:textId="02B7188C" w:rsidR="00D5377D" w:rsidRPr="00B54AF6" w:rsidRDefault="00C33304" w:rsidP="00B54AF6">
      <w:pPr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3217B4" w:rsidRPr="00B54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EFB">
        <w:rPr>
          <w:rFonts w:ascii="Times New Roman" w:hAnsi="Times New Roman" w:cs="Times New Roman"/>
          <w:b/>
          <w:bCs/>
          <w:sz w:val="24"/>
          <w:szCs w:val="24"/>
        </w:rPr>
        <w:t>144</w:t>
      </w:r>
      <w:r w:rsidR="003217B4" w:rsidRPr="00B54AF6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7AF7FAD5" w14:textId="77777777" w:rsidR="003217B4" w:rsidRPr="00B54AF6" w:rsidRDefault="003217B4" w:rsidP="00B54AF6">
      <w:pPr>
        <w:spacing w:after="0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4E905" w14:textId="4B317F5E" w:rsidR="00D5377D" w:rsidRPr="00B54AF6" w:rsidRDefault="00C33304" w:rsidP="00B54AF6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Data: </w:t>
      </w:r>
      <w:r w:rsidR="00061773" w:rsidRPr="00B54AF6">
        <w:rPr>
          <w:rFonts w:ascii="Times New Roman" w:hAnsi="Times New Roman" w:cs="Times New Roman"/>
          <w:sz w:val="24"/>
          <w:szCs w:val="24"/>
        </w:rPr>
        <w:t>0</w:t>
      </w:r>
      <w:r w:rsidR="003217B4" w:rsidRPr="00B54AF6">
        <w:rPr>
          <w:rFonts w:ascii="Times New Roman" w:hAnsi="Times New Roman" w:cs="Times New Roman"/>
          <w:sz w:val="24"/>
          <w:szCs w:val="24"/>
        </w:rPr>
        <w:t>8</w:t>
      </w:r>
      <w:r w:rsidRPr="00B54AF6">
        <w:rPr>
          <w:rFonts w:ascii="Times New Roman" w:hAnsi="Times New Roman" w:cs="Times New Roman"/>
          <w:sz w:val="24"/>
          <w:szCs w:val="24"/>
        </w:rPr>
        <w:t xml:space="preserve"> de </w:t>
      </w:r>
      <w:r w:rsidR="00061773" w:rsidRPr="00B54AF6">
        <w:rPr>
          <w:rFonts w:ascii="Times New Roman" w:hAnsi="Times New Roman" w:cs="Times New Roman"/>
          <w:sz w:val="24"/>
          <w:szCs w:val="24"/>
        </w:rPr>
        <w:t xml:space="preserve">agosto </w:t>
      </w:r>
      <w:r w:rsidR="00704DEA">
        <w:rPr>
          <w:rFonts w:ascii="Times New Roman" w:hAnsi="Times New Roman" w:cs="Times New Roman"/>
          <w:sz w:val="24"/>
          <w:szCs w:val="24"/>
        </w:rPr>
        <w:t>de 2025</w:t>
      </w:r>
    </w:p>
    <w:p w14:paraId="1483606B" w14:textId="77777777" w:rsidR="003217B4" w:rsidRPr="00B54AF6" w:rsidRDefault="003217B4" w:rsidP="00B54AF6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54C24526" w14:textId="77777777" w:rsidR="00061773" w:rsidRPr="00B54AF6" w:rsidRDefault="00C33304" w:rsidP="00B54AF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Institui o Projeto "Transparência e Reconhecimento Cidadão" pa</w:t>
      </w:r>
      <w:bookmarkStart w:id="0" w:name="_GoBack"/>
      <w:bookmarkEnd w:id="0"/>
      <w:r w:rsidRPr="00B54AF6">
        <w:rPr>
          <w:rFonts w:ascii="Times New Roman" w:hAnsi="Times New Roman" w:cs="Times New Roman"/>
          <w:sz w:val="24"/>
          <w:szCs w:val="24"/>
        </w:rPr>
        <w:t xml:space="preserve">ra as Entidades de Utilidade Pública no Município de Sorriso, complementando e aprimorando as normas estabelecidas pela Lei Municipal </w:t>
      </w:r>
      <w:r w:rsidRPr="00B54AF6">
        <w:rPr>
          <w:rFonts w:ascii="Times New Roman" w:hAnsi="Times New Roman" w:cs="Times New Roman"/>
          <w:sz w:val="24"/>
          <w:szCs w:val="24"/>
        </w:rPr>
        <w:t>nº 1.361/2005, e dá outras providências.</w:t>
      </w:r>
    </w:p>
    <w:p w14:paraId="2D730D09" w14:textId="77777777" w:rsidR="00D5377D" w:rsidRPr="00B54AF6" w:rsidRDefault="00D5377D" w:rsidP="00B54AF6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94E3FE" w14:textId="2DCF17F3" w:rsidR="00D5377D" w:rsidRPr="00B54AF6" w:rsidRDefault="00C33304" w:rsidP="00B54AF6">
      <w:pPr>
        <w:spacing w:after="0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RODRIGO MATTERAZZI - Republicanos, </w:t>
      </w:r>
      <w:r w:rsidR="00B54AF6" w:rsidRPr="00B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vereador com assento nesta Casa, </w:t>
      </w:r>
      <w:r w:rsidRPr="00B54AF6">
        <w:rPr>
          <w:rFonts w:ascii="Times New Roman" w:hAnsi="Times New Roman" w:cs="Times New Roman"/>
          <w:iCs/>
          <w:sz w:val="24"/>
          <w:szCs w:val="24"/>
        </w:rPr>
        <w:t>com fulcro no art. 108</w:t>
      </w:r>
      <w:r w:rsidR="00B54AF6" w:rsidRPr="00B54AF6">
        <w:rPr>
          <w:rFonts w:ascii="Times New Roman" w:hAnsi="Times New Roman" w:cs="Times New Roman"/>
          <w:iCs/>
          <w:sz w:val="24"/>
          <w:szCs w:val="24"/>
        </w:rPr>
        <w:t xml:space="preserve"> e 109 </w:t>
      </w:r>
      <w:r w:rsidRPr="00B54AF6">
        <w:rPr>
          <w:rFonts w:ascii="Times New Roman" w:hAnsi="Times New Roman" w:cs="Times New Roman"/>
          <w:iCs/>
          <w:sz w:val="24"/>
          <w:szCs w:val="24"/>
        </w:rPr>
        <w:t>do Regimento Interno, encaminha para deliberação do Soberano Plenário</w:t>
      </w:r>
      <w:r w:rsidR="00B54AF6" w:rsidRPr="00B54AF6">
        <w:rPr>
          <w:rFonts w:ascii="Times New Roman" w:hAnsi="Times New Roman" w:cs="Times New Roman"/>
          <w:iCs/>
          <w:sz w:val="24"/>
          <w:szCs w:val="24"/>
        </w:rPr>
        <w:t xml:space="preserve"> o seguinte</w:t>
      </w:r>
      <w:r w:rsidRPr="00B54AF6">
        <w:rPr>
          <w:rFonts w:ascii="Times New Roman" w:hAnsi="Times New Roman" w:cs="Times New Roman"/>
          <w:iCs/>
          <w:sz w:val="24"/>
          <w:szCs w:val="24"/>
        </w:rPr>
        <w:t xml:space="preserve"> Projeto de Lei</w:t>
      </w:r>
      <w:r w:rsidR="00B54AF6" w:rsidRPr="00B54AF6">
        <w:rPr>
          <w:rFonts w:ascii="Times New Roman" w:hAnsi="Times New Roman" w:cs="Times New Roman"/>
          <w:iCs/>
          <w:sz w:val="24"/>
          <w:szCs w:val="24"/>
        </w:rPr>
        <w:t xml:space="preserve"> Complementar</w:t>
      </w:r>
      <w:r w:rsidRPr="00B54AF6">
        <w:rPr>
          <w:rFonts w:ascii="Times New Roman" w:hAnsi="Times New Roman" w:cs="Times New Roman"/>
          <w:iCs/>
          <w:sz w:val="24"/>
          <w:szCs w:val="24"/>
        </w:rPr>
        <w:t>:</w:t>
      </w:r>
    </w:p>
    <w:p w14:paraId="4EAEEA13" w14:textId="5FBE35A5" w:rsidR="00B54AF6" w:rsidRDefault="00B54AF6" w:rsidP="00B54AF6">
      <w:pPr>
        <w:spacing w:after="0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1CD8D4" w14:textId="77777777" w:rsidR="007E4E1F" w:rsidRDefault="007E4E1F" w:rsidP="00B54AF6">
      <w:pPr>
        <w:spacing w:after="0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0AE6EC" w14:textId="50F67E19" w:rsidR="00B54AF6" w:rsidRPr="00B54AF6" w:rsidRDefault="007E4E1F" w:rsidP="007E4E1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0AFE751A" w14:textId="1B5072DB" w:rsidR="00061773" w:rsidRDefault="00C33304" w:rsidP="007E4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DAS DISPOSIÇÕES PRELIMINARES E DOS OBJETIVOS</w:t>
      </w:r>
    </w:p>
    <w:p w14:paraId="01D4D09E" w14:textId="77777777" w:rsidR="00B54AF6" w:rsidRPr="00B54AF6" w:rsidRDefault="00B54AF6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F1EB7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Fica instituído no âmbito do Município de Sorriso o Projeto "Transparência e Reconhecimento Cidadão", com o objetivo de:</w:t>
      </w:r>
    </w:p>
    <w:p w14:paraId="1B4C930D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AA3C21" w14:textId="77777777" w:rsidR="00061773" w:rsidRPr="00B54AF6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I – Assegurar a transparência e a efetividade das ações das entidades declaradas de utilidade pública municipal; </w:t>
      </w:r>
    </w:p>
    <w:p w14:paraId="0DD19C2D" w14:textId="77777777" w:rsidR="00061773" w:rsidRPr="00B54AF6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II – Fortalecer o controle social e a fiscalização sobre a aplicação dos recursos públicos e privados, com ênfase nos repasses oriundos do erá</w:t>
      </w:r>
      <w:r w:rsidRPr="00B54AF6">
        <w:rPr>
          <w:rFonts w:ascii="Times New Roman" w:hAnsi="Times New Roman" w:cs="Times New Roman"/>
          <w:sz w:val="24"/>
          <w:szCs w:val="24"/>
        </w:rPr>
        <w:t xml:space="preserve">rio municipal, e o cumprimento dos objetivos estatutários das referidas entidades, em consonância com as normas da Lei Municipal nº 1.361, de 09 de junho de 2005; </w:t>
      </w:r>
    </w:p>
    <w:p w14:paraId="3D612A30" w14:textId="77777777" w:rsidR="00061773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III – Reconhecer e valorizar publicamente as entidades de utilidade pública que se destacam </w:t>
      </w:r>
      <w:r w:rsidRPr="00B54AF6">
        <w:rPr>
          <w:rFonts w:ascii="Times New Roman" w:hAnsi="Times New Roman" w:cs="Times New Roman"/>
          <w:sz w:val="24"/>
          <w:szCs w:val="24"/>
        </w:rPr>
        <w:t>pela boa gestão, pela transparência e pelo relevante impacto social em suas atividades.</w:t>
      </w:r>
    </w:p>
    <w:p w14:paraId="44126846" w14:textId="77777777" w:rsidR="00B54AF6" w:rsidRPr="00B54AF6" w:rsidRDefault="00B54AF6" w:rsidP="00B54AF6">
      <w:pPr>
        <w:spacing w:after="0"/>
        <w:ind w:left="85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9C43FC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Para os fins desta Lei, considera-se: </w:t>
      </w:r>
    </w:p>
    <w:p w14:paraId="08BAA2A2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E8FE81" w14:textId="77777777" w:rsidR="00061773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I –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Entidade de Utilidade Pública:</w:t>
      </w:r>
      <w:r w:rsidRPr="00B54AF6">
        <w:rPr>
          <w:rFonts w:ascii="Times New Roman" w:hAnsi="Times New Roman" w:cs="Times New Roman"/>
          <w:sz w:val="24"/>
          <w:szCs w:val="24"/>
        </w:rPr>
        <w:t xml:space="preserve"> Pessoa jurídica de direito privado sem fins lucrativos, legalmente constituída e declarada de utilidade pública pelo Município de Sorriso, nos termos da Lei Municipal nº 1.361, de 09 de junho de 2005, e suas alterações.</w:t>
      </w:r>
    </w:p>
    <w:p w14:paraId="7336DB38" w14:textId="77777777" w:rsidR="00B54AF6" w:rsidRDefault="00B54AF6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6CA4C0E" w14:textId="77777777" w:rsidR="00B54AF6" w:rsidRPr="00B54AF6" w:rsidRDefault="00B54AF6" w:rsidP="00B54AF6">
      <w:pPr>
        <w:spacing w:after="0"/>
        <w:ind w:left="85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785A2F" w14:textId="7C8C25EF" w:rsidR="00061773" w:rsidRPr="00B54AF6" w:rsidRDefault="00C33304" w:rsidP="00704D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01285CD9" w14:textId="27983FDB" w:rsidR="00061773" w:rsidRDefault="00C33304" w:rsidP="00704D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DA FISCALIZAÇÃO E C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ONFORMIDADE</w:t>
      </w:r>
    </w:p>
    <w:p w14:paraId="65AD0066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EA4EA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As entidades de utilidade pública municipal, em cumprimento ao disposto no Art. 4º da Lei Municipal nº 1.361, de 09 de junho de 2005, e para fins do Projeto "Transparência e Reconhecimento Cidadão", deverão apresentar à Câmara Municipa</w:t>
      </w:r>
      <w:r w:rsidRPr="00B54AF6">
        <w:rPr>
          <w:rFonts w:ascii="Times New Roman" w:hAnsi="Times New Roman" w:cs="Times New Roman"/>
          <w:sz w:val="24"/>
          <w:szCs w:val="24"/>
        </w:rPr>
        <w:t xml:space="preserve">l de Sorriso, anualmente,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até o dia 30 de abril de cada ano</w:t>
      </w:r>
      <w:r w:rsidRPr="00B54AF6">
        <w:rPr>
          <w:rFonts w:ascii="Times New Roman" w:hAnsi="Times New Roman" w:cs="Times New Roman"/>
          <w:sz w:val="24"/>
          <w:szCs w:val="24"/>
        </w:rPr>
        <w:t xml:space="preserve">, os seguintes documentos e informações referentes ao exercício financeiro anterior: </w:t>
      </w:r>
    </w:p>
    <w:p w14:paraId="2FFD94B8" w14:textId="77777777" w:rsid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8946D7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 – Relatório Anual de Atividades, contendo a descrição das ações realizadas, público-alvo atendido, resultado</w:t>
      </w:r>
      <w:r w:rsidRPr="00B54AF6">
        <w:rPr>
          <w:rFonts w:ascii="Times New Roman" w:hAnsi="Times New Roman" w:cs="Times New Roman"/>
          <w:sz w:val="24"/>
          <w:szCs w:val="24"/>
        </w:rPr>
        <w:t xml:space="preserve">s alcançados e indicadores de impacto social; </w:t>
      </w:r>
    </w:p>
    <w:p w14:paraId="726F562E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II – Prestação de Contas Simplificada, demonstrando a origem (com distinção clara entre recursos próprios, doações e repasses públicos municipais) e a aplicação dos recursos, conforme modelo a ser disponibiliz</w:t>
      </w:r>
      <w:r w:rsidRPr="00B54AF6">
        <w:rPr>
          <w:rFonts w:ascii="Times New Roman" w:hAnsi="Times New Roman" w:cs="Times New Roman"/>
          <w:sz w:val="24"/>
          <w:szCs w:val="24"/>
        </w:rPr>
        <w:t xml:space="preserve">ado pela Câmara Municipal. Este demonstrativo deve incluir a receita e a despesa realizada no período, ainda que a entidade não tenha sido subvencionada; </w:t>
      </w:r>
    </w:p>
    <w:p w14:paraId="344A0CAC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III – Comprovante de regularidade do Alvará de Licença, válido por 01 (um) ano, em conformidade com o</w:t>
      </w:r>
      <w:r w:rsidRPr="00B54AF6">
        <w:rPr>
          <w:rFonts w:ascii="Times New Roman" w:hAnsi="Times New Roman" w:cs="Times New Roman"/>
          <w:sz w:val="24"/>
          <w:szCs w:val="24"/>
        </w:rPr>
        <w:t xml:space="preserve"> Art. 3º, inciso I, da Lei Municipal nº 1.361/2005; </w:t>
      </w:r>
    </w:p>
    <w:p w14:paraId="17D4DF1B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IV – Declaração formal de que não houve substituição dos fins estatutários ou recusa na prestação de serviços compreendidos nos mesmos, em conformidade com o Art. 3º, inciso III, da Lei Municipal nº 1.36</w:t>
      </w:r>
      <w:r w:rsidRPr="00B54AF6">
        <w:rPr>
          <w:rFonts w:ascii="Times New Roman" w:hAnsi="Times New Roman" w:cs="Times New Roman"/>
          <w:sz w:val="24"/>
          <w:szCs w:val="24"/>
        </w:rPr>
        <w:t xml:space="preserve">1/2005; </w:t>
      </w:r>
    </w:p>
    <w:p w14:paraId="5C7FC043" w14:textId="77777777" w:rsidR="00061773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V – Comprovante da comunicação à Câmara Municipal de Sorriso de qualquer alteração de cláusulas estatutárias, regimento interno, razão social ou denominação, nos prazos e termos do Art. 3º, inciso IV, da Lei Municipal nº 1.361/2005, caso tais alte</w:t>
      </w:r>
      <w:r w:rsidRPr="00B54AF6">
        <w:rPr>
          <w:rFonts w:ascii="Times New Roman" w:hAnsi="Times New Roman" w:cs="Times New Roman"/>
          <w:sz w:val="24"/>
          <w:szCs w:val="24"/>
        </w:rPr>
        <w:t>rações tenham ocorrido.</w:t>
      </w:r>
    </w:p>
    <w:p w14:paraId="015833ED" w14:textId="77777777" w:rsidR="00B54AF6" w:rsidRPr="00B54AF6" w:rsidRDefault="00B54AF6" w:rsidP="00B54AF6">
      <w:pPr>
        <w:spacing w:after="0"/>
        <w:ind w:left="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FF9FAF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O recebimento dos documentos e informações mencionados no </w:t>
      </w:r>
      <w:r w:rsidRPr="00B54AF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B54AF6">
        <w:rPr>
          <w:rFonts w:ascii="Times New Roman" w:hAnsi="Times New Roman" w:cs="Times New Roman"/>
          <w:sz w:val="24"/>
          <w:szCs w:val="24"/>
        </w:rPr>
        <w:t xml:space="preserve"> deste artigo será feito por meio de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protocolo físico na secretaria da Câmara Municipal</w:t>
      </w:r>
      <w:r w:rsidRPr="00B54AF6">
        <w:rPr>
          <w:rFonts w:ascii="Times New Roman" w:hAnsi="Times New Roman" w:cs="Times New Roman"/>
          <w:sz w:val="24"/>
          <w:szCs w:val="24"/>
        </w:rPr>
        <w:t>, assegurando-se o devido registro da entrega.</w:t>
      </w:r>
    </w:p>
    <w:p w14:paraId="59EC1F47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DD225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Câmara Municipal poderá solicitar ao Poder Executivo a relação de todos os repasses públicos, em dinheiro ou bens, e os respectivos valores destinados às entidades de utilidade pública municipal, a qualquer tempo, para fins de fiscalização e confronto c</w:t>
      </w:r>
      <w:r w:rsidRPr="00B54AF6">
        <w:rPr>
          <w:rFonts w:ascii="Times New Roman" w:hAnsi="Times New Roman" w:cs="Times New Roman"/>
          <w:sz w:val="24"/>
          <w:szCs w:val="24"/>
        </w:rPr>
        <w:t>om as informações prestadas pelas próprias entidades.</w:t>
      </w:r>
    </w:p>
    <w:p w14:paraId="7DB80617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93998E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O descumprimento do disposto no Art. 3º desta Lei, bem como a constatação de quaisquer das situações previstas nos Art. 3º e Art. 5º da Lei Municipal nº 1.361/2005 e demais atos correlatos, ens</w:t>
      </w:r>
      <w:r w:rsidRPr="00B54AF6">
        <w:rPr>
          <w:rFonts w:ascii="Times New Roman" w:hAnsi="Times New Roman" w:cs="Times New Roman"/>
          <w:sz w:val="24"/>
          <w:szCs w:val="24"/>
        </w:rPr>
        <w:t>ejará a imediata suspensão dos efeitos da declaração de Utilidade Pública, pelo prazo de 90 (noventa) dias, para regularização da situação, sob pena da revogação definitiva do reconhecimento.</w:t>
      </w:r>
    </w:p>
    <w:p w14:paraId="6C6E25A5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769456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Durante o período de suspensão de que trata o </w:t>
      </w:r>
      <w:r w:rsidRPr="00B54AF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B54AF6">
        <w:rPr>
          <w:rFonts w:ascii="Times New Roman" w:hAnsi="Times New Roman" w:cs="Times New Roman"/>
          <w:sz w:val="24"/>
          <w:szCs w:val="24"/>
        </w:rPr>
        <w:t>, a ent</w:t>
      </w:r>
      <w:r w:rsidRPr="00B54AF6">
        <w:rPr>
          <w:rFonts w:ascii="Times New Roman" w:hAnsi="Times New Roman" w:cs="Times New Roman"/>
          <w:sz w:val="24"/>
          <w:szCs w:val="24"/>
        </w:rPr>
        <w:t>idade terá seus benefícios e prerrogativas decorrentes da declaração de utilidade pública temporariamente suspensos.</w:t>
      </w:r>
    </w:p>
    <w:p w14:paraId="1B1316F6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25601D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revogação definitiva do caráter de utilidade pública</w:t>
      </w:r>
      <w:r w:rsidRPr="00B54AF6">
        <w:rPr>
          <w:rFonts w:ascii="Times New Roman" w:hAnsi="Times New Roman" w:cs="Times New Roman"/>
          <w:sz w:val="24"/>
          <w:szCs w:val="24"/>
        </w:rPr>
        <w:t xml:space="preserve"> será aplicada nos seguintes casos, entre outros: </w:t>
      </w:r>
    </w:p>
    <w:p w14:paraId="1A026F11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E50D35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 – Não apresentação do rel</w:t>
      </w:r>
      <w:r w:rsidRPr="00B54AF6">
        <w:rPr>
          <w:rFonts w:ascii="Times New Roman" w:hAnsi="Times New Roman" w:cs="Times New Roman"/>
          <w:sz w:val="24"/>
          <w:szCs w:val="24"/>
        </w:rPr>
        <w:t xml:space="preserve">atório circunstanciado dos serviços e do demonstrativo da receita e despesa, conforme previsto no Art. 4º da Lei Municipal nº 1.361/2005 e nesta Lei; </w:t>
      </w:r>
    </w:p>
    <w:p w14:paraId="48386778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II – Deixar de preencher qualquer dos requisitos previstos no Art. 1º da Lei Municipal nº 1.361/2005, con</w:t>
      </w:r>
      <w:r w:rsidRPr="00B54AF6">
        <w:rPr>
          <w:rFonts w:ascii="Times New Roman" w:hAnsi="Times New Roman" w:cs="Times New Roman"/>
          <w:sz w:val="24"/>
          <w:szCs w:val="24"/>
        </w:rPr>
        <w:t>forme apurado em processo administrativo;</w:t>
      </w:r>
    </w:p>
    <w:p w14:paraId="36E64FCB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 III – Recusa em prestar serviço compreendido em seus fins estatutários, conforme previsto na Lei Municipal nº 1.361/2005; </w:t>
      </w:r>
    </w:p>
    <w:p w14:paraId="3C8FF97C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IV – Não regularização das inconsistências ou do descumprimento das demais exigências dest</w:t>
      </w:r>
      <w:r w:rsidRPr="00B54AF6">
        <w:rPr>
          <w:rFonts w:ascii="Times New Roman" w:hAnsi="Times New Roman" w:cs="Times New Roman"/>
          <w:sz w:val="24"/>
          <w:szCs w:val="24"/>
        </w:rPr>
        <w:t xml:space="preserve">a Lei e da Lei Municipal nº 1.361/2005 após o período de suspensão; </w:t>
      </w:r>
    </w:p>
    <w:p w14:paraId="7A62E29C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V – Constatação de má-fé, fraude, desvio de finalidade ou uso indevido de recursos públicos ou privados, apurados em processo administrativo;</w:t>
      </w:r>
    </w:p>
    <w:p w14:paraId="3E9C6F56" w14:textId="2E3F12CA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VI – Acúmulo de 3 (três) suspensões em um per</w:t>
      </w:r>
      <w:r w:rsidRPr="00B54AF6">
        <w:rPr>
          <w:rFonts w:ascii="Times New Roman" w:hAnsi="Times New Roman" w:cs="Times New Roman"/>
          <w:sz w:val="24"/>
          <w:szCs w:val="24"/>
        </w:rPr>
        <w:t>íodo de 5 (cinco) anos.</w:t>
      </w:r>
    </w:p>
    <w:p w14:paraId="3E3327D4" w14:textId="77777777" w:rsidR="00B54AF6" w:rsidRPr="00B54AF6" w:rsidRDefault="00B54AF6" w:rsidP="00B54AF6">
      <w:pPr>
        <w:spacing w:after="0"/>
        <w:ind w:left="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68090B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0325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Câmara Municipal, através da comissão competente ou do setor responsável, notificará a entidade sobre as irregularidades detectadas e a suspensão das atividades, concedendo prazo para defesa e regularização, antes da aplicaç</w:t>
      </w:r>
      <w:r w:rsidRPr="00B54AF6">
        <w:rPr>
          <w:rFonts w:ascii="Times New Roman" w:hAnsi="Times New Roman" w:cs="Times New Roman"/>
          <w:sz w:val="24"/>
          <w:szCs w:val="24"/>
        </w:rPr>
        <w:t>ão da revogação definitiva.</w:t>
      </w:r>
    </w:p>
    <w:p w14:paraId="2A34EEE7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2F9375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032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Câmara Municipal ou comissão designada avaliará os relatórios e documentos apresentados, com base nos seguintes critérios:</w:t>
      </w:r>
    </w:p>
    <w:p w14:paraId="4F31CA57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38CCA5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 I – Conformidade com os objetivos estatutários e a legislação pertinente; </w:t>
      </w:r>
    </w:p>
    <w:p w14:paraId="060F80F4" w14:textId="77777777" w:rsidR="00061773" w:rsidRPr="00B54AF6" w:rsidRDefault="00C33304" w:rsidP="00B54A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II – </w:t>
      </w:r>
      <w:r w:rsidRPr="00B54AF6">
        <w:rPr>
          <w:rFonts w:ascii="Times New Roman" w:hAnsi="Times New Roman" w:cs="Times New Roman"/>
          <w:sz w:val="24"/>
          <w:szCs w:val="24"/>
        </w:rPr>
        <w:t>Transparência na gestão e na prestação de contas;</w:t>
      </w:r>
    </w:p>
    <w:p w14:paraId="1BD2CE29" w14:textId="1A79C4B8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 xml:space="preserve"> III – Relevância e impacto social das ações desenvolvidas, com especial atenção à utilização e </w:t>
      </w:r>
      <w:r w:rsidR="00B54AF6" w:rsidRPr="00B54AF6">
        <w:rPr>
          <w:rFonts w:ascii="Times New Roman" w:hAnsi="Times New Roman" w:cs="Times New Roman"/>
          <w:sz w:val="24"/>
          <w:szCs w:val="24"/>
        </w:rPr>
        <w:t>impacto</w:t>
      </w:r>
      <w:r w:rsidRPr="00B54AF6">
        <w:rPr>
          <w:rFonts w:ascii="Times New Roman" w:hAnsi="Times New Roman" w:cs="Times New Roman"/>
          <w:sz w:val="24"/>
          <w:szCs w:val="24"/>
        </w:rPr>
        <w:t xml:space="preserve"> dos repasses públicos recebidos; </w:t>
      </w:r>
    </w:p>
    <w:p w14:paraId="013BB33F" w14:textId="77777777" w:rsidR="00061773" w:rsidRPr="00B54AF6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IV – Correta e transparente aplicação dos repasses públicos municipa</w:t>
      </w:r>
      <w:r w:rsidRPr="00B54AF6">
        <w:rPr>
          <w:rFonts w:ascii="Times New Roman" w:hAnsi="Times New Roman" w:cs="Times New Roman"/>
          <w:sz w:val="24"/>
          <w:szCs w:val="24"/>
        </w:rPr>
        <w:t xml:space="preserve">is, em conformidade com os termos dos convênios, termos de fomento ou instrumentos congêneres; </w:t>
      </w:r>
    </w:p>
    <w:p w14:paraId="6A581BC6" w14:textId="77777777" w:rsidR="00061773" w:rsidRDefault="00C33304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V – Regularidade documental e cumprimento das exigências do Art. 3º desta Lei e da Lei Municipal nº 1.361/2005.</w:t>
      </w:r>
    </w:p>
    <w:p w14:paraId="13B13E09" w14:textId="77777777" w:rsidR="00B54AF6" w:rsidRDefault="00B54AF6" w:rsidP="00B54A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0AF16E" w14:textId="77777777" w:rsidR="00B54AF6" w:rsidRPr="00B54AF6" w:rsidRDefault="00B54AF6" w:rsidP="00B54AF6">
      <w:pPr>
        <w:spacing w:after="0"/>
        <w:ind w:left="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2E7B5B" w14:textId="77777777" w:rsidR="00061773" w:rsidRPr="00B54AF6" w:rsidRDefault="00C33304" w:rsidP="007E4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14:paraId="7F3F4419" w14:textId="77777777" w:rsidR="00061773" w:rsidRDefault="00C33304" w:rsidP="007E4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 xml:space="preserve">DO RECONHECIMENTO E DA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HOMENAGEM</w:t>
      </w:r>
    </w:p>
    <w:p w14:paraId="7512377D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245E74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Fica instituído o "Selo de Boas Práticas e Transparência da Câmara Municipal de Sorriso", a ser concedido anualmente às entidades de utilidade pública que: </w:t>
      </w:r>
    </w:p>
    <w:p w14:paraId="17016650" w14:textId="77777777" w:rsid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486D38" w14:textId="77777777" w:rsidR="00061773" w:rsidRPr="00B54AF6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 – Cumprirem integralmente as exigências de relatório e prestação de contas pr</w:t>
      </w:r>
      <w:r w:rsidRPr="00B54AF6">
        <w:rPr>
          <w:rFonts w:ascii="Times New Roman" w:hAnsi="Times New Roman" w:cs="Times New Roman"/>
          <w:sz w:val="24"/>
          <w:szCs w:val="24"/>
        </w:rPr>
        <w:t xml:space="preserve">evistas no Art. 3º desta Lei; </w:t>
      </w:r>
    </w:p>
    <w:p w14:paraId="4C92D875" w14:textId="77777777" w:rsidR="00061773" w:rsidRPr="00B54AF6" w:rsidRDefault="00C33304" w:rsidP="00B54AF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II – Obtiverem avaliação positiva, após análise e parecer das comissões permanentes competentes da Câmara Municipal, conforme os critérios estabelecidos no Art. 5º.</w:t>
      </w:r>
    </w:p>
    <w:p w14:paraId="6D18DB0B" w14:textId="77777777" w:rsidR="00B54AF6" w:rsidRPr="00B54AF6" w:rsidRDefault="00B54AF6" w:rsidP="00B54AF6">
      <w:pPr>
        <w:spacing w:after="0"/>
        <w:ind w:left="85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86D58C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4DEA">
        <w:rPr>
          <w:rFonts w:ascii="Times New Roman" w:hAnsi="Times New Roman" w:cs="Times New Roman"/>
          <w:b/>
          <w:sz w:val="24"/>
          <w:szCs w:val="24"/>
        </w:rPr>
        <w:t>Art. 7º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Fica instituído o "Prêmio Entidade Cidadã Destaque de Sorriso", a ser concedido anualmente, às 3 (três) entidades de utilidade pública que se destacarem de forma excepcional em todas as áreas de avaliação (gestão, impacto e inovação). </w:t>
      </w:r>
    </w:p>
    <w:p w14:paraId="0309F99B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BB3BEB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4DEA">
        <w:rPr>
          <w:rFonts w:ascii="Times New Roman" w:hAnsi="Times New Roman" w:cs="Times New Roman"/>
          <w:b/>
          <w:sz w:val="24"/>
          <w:szCs w:val="24"/>
        </w:rPr>
        <w:t>Parágrafo ú</w:t>
      </w:r>
      <w:r w:rsidRPr="00704DEA">
        <w:rPr>
          <w:rFonts w:ascii="Times New Roman" w:hAnsi="Times New Roman" w:cs="Times New Roman"/>
          <w:b/>
          <w:sz w:val="24"/>
          <w:szCs w:val="24"/>
        </w:rPr>
        <w:t>nico.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escolha das entidades agraciadas com o "Prêmio Entidade Cidadã Destaque" será realizada por uma comissão específica composta por 5 (cinco) membros, sendo 3 (três) Vereadores indicados pela Mesa Diretora e 2 (dois) representantes da sociedade civil </w:t>
      </w:r>
      <w:r w:rsidRPr="00B54AF6">
        <w:rPr>
          <w:rFonts w:ascii="Times New Roman" w:hAnsi="Times New Roman" w:cs="Times New Roman"/>
          <w:sz w:val="24"/>
          <w:szCs w:val="24"/>
        </w:rPr>
        <w:t>organizada, nomeados anualmente pelo Presidente da Câmara, e submetida à apreciação e homologação das comissões permanentes competentes da Câmara Municipal.</w:t>
      </w:r>
    </w:p>
    <w:p w14:paraId="53AAC3B6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F67AF7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4DEA">
        <w:rPr>
          <w:rFonts w:ascii="Times New Roman" w:hAnsi="Times New Roman" w:cs="Times New Roman"/>
          <w:b/>
          <w:sz w:val="24"/>
          <w:szCs w:val="24"/>
        </w:rPr>
        <w:t>Art. 8º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entrega do "Selo de Boas Práticas e Transparência" e do "Prêmio Entidade Cidadã Destaque</w:t>
      </w:r>
      <w:r w:rsidRPr="00B54AF6">
        <w:rPr>
          <w:rFonts w:ascii="Times New Roman" w:hAnsi="Times New Roman" w:cs="Times New Roman"/>
          <w:sz w:val="24"/>
          <w:szCs w:val="24"/>
        </w:rPr>
        <w:t>" ocorrerá em Sessão Solene da Câmara Municipal de Sorriso, a ser realizada anualmente no mês de novembro, com ampla divulgação.</w:t>
      </w:r>
    </w:p>
    <w:p w14:paraId="2C2F94C6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D83258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4DEA">
        <w:rPr>
          <w:rFonts w:ascii="Times New Roman" w:hAnsi="Times New Roman" w:cs="Times New Roman"/>
          <w:b/>
          <w:sz w:val="24"/>
          <w:szCs w:val="24"/>
        </w:rPr>
        <w:t>Art. 9º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A Câmara Municipal poderá divulgar os casos de sucesso e as boas práticas das entidades agraciadas em seus canais de c</w:t>
      </w:r>
      <w:r w:rsidRPr="00B54AF6">
        <w:rPr>
          <w:rFonts w:ascii="Times New Roman" w:hAnsi="Times New Roman" w:cs="Times New Roman"/>
          <w:sz w:val="24"/>
          <w:szCs w:val="24"/>
        </w:rPr>
        <w:t>omunicação oficiais, visando inspirar e fortalecer o terceiro setor no Município.</w:t>
      </w:r>
    </w:p>
    <w:p w14:paraId="053C504A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1020EE" w14:textId="4C120505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E1F">
        <w:rPr>
          <w:rFonts w:ascii="Times New Roman" w:hAnsi="Times New Roman" w:cs="Times New Roman"/>
          <w:b/>
          <w:sz w:val="24"/>
          <w:szCs w:val="24"/>
        </w:rPr>
        <w:t>Art. 10.</w:t>
      </w:r>
      <w:r w:rsidRPr="00B54AF6">
        <w:rPr>
          <w:rFonts w:ascii="Times New Roman" w:hAnsi="Times New Roman" w:cs="Times New Roman"/>
          <w:sz w:val="24"/>
          <w:szCs w:val="24"/>
        </w:rPr>
        <w:t xml:space="preserve"> Fica instituído o "Prêmio Longevidade Cidadã", a ser concedido às entidades de utilidade pública municipal que, mantendo sua regularidade e o caráter de utilidade p</w:t>
      </w:r>
      <w:r w:rsidRPr="00B54AF6">
        <w:rPr>
          <w:rFonts w:ascii="Times New Roman" w:hAnsi="Times New Roman" w:cs="Times New Roman"/>
          <w:sz w:val="24"/>
          <w:szCs w:val="24"/>
        </w:rPr>
        <w:t>ública, completarem ciclos de atuação a cada 5 (cinco) anos de reconhecimento da utilidade pública (</w:t>
      </w:r>
      <w:proofErr w:type="spellStart"/>
      <w:r w:rsidRPr="00B54AF6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B54AF6">
        <w:rPr>
          <w:rFonts w:ascii="Times New Roman" w:hAnsi="Times New Roman" w:cs="Times New Roman"/>
          <w:sz w:val="24"/>
          <w:szCs w:val="24"/>
        </w:rPr>
        <w:t>: 5, 10, 15, 20, 25 anos e assim sucessivamente).</w:t>
      </w:r>
    </w:p>
    <w:p w14:paraId="35DA49C2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BFE76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E1F">
        <w:rPr>
          <w:rFonts w:ascii="Times New Roman" w:hAnsi="Times New Roman" w:cs="Times New Roman"/>
          <w:b/>
          <w:sz w:val="24"/>
          <w:szCs w:val="24"/>
        </w:rPr>
        <w:t>§ 1</w:t>
      </w:r>
      <w:r w:rsidRPr="00B54AF6">
        <w:rPr>
          <w:rFonts w:ascii="Times New Roman" w:hAnsi="Times New Roman" w:cs="Times New Roman"/>
          <w:sz w:val="24"/>
          <w:szCs w:val="24"/>
        </w:rPr>
        <w:t>º A honraria será concedida mediante placa comemorativa e certificado de mérito, em Sessão Solene an</w:t>
      </w:r>
      <w:r w:rsidRPr="00B54AF6">
        <w:rPr>
          <w:rFonts w:ascii="Times New Roman" w:hAnsi="Times New Roman" w:cs="Times New Roman"/>
          <w:sz w:val="24"/>
          <w:szCs w:val="24"/>
        </w:rPr>
        <w:t>ual de reconhecimento, após análise e parecer das comissões permanentes competentes da Câmara Municipal.</w:t>
      </w:r>
    </w:p>
    <w:p w14:paraId="16CFA2B1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EDD0F5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E1F">
        <w:rPr>
          <w:rFonts w:ascii="Times New Roman" w:hAnsi="Times New Roman" w:cs="Times New Roman"/>
          <w:b/>
          <w:sz w:val="24"/>
          <w:szCs w:val="24"/>
        </w:rPr>
        <w:t>§ 2º</w:t>
      </w:r>
      <w:r w:rsidRPr="00B54AF6">
        <w:rPr>
          <w:rFonts w:ascii="Times New Roman" w:hAnsi="Times New Roman" w:cs="Times New Roman"/>
          <w:sz w:val="24"/>
          <w:szCs w:val="24"/>
        </w:rPr>
        <w:t xml:space="preserve"> Para fazer jus ao "Prêmio Longevidade Cidadã", a entidade deverá estar em plena conformidade com as exigências do Art. 3º desta Lei e da Lei Muni</w:t>
      </w:r>
      <w:r w:rsidRPr="00B54AF6">
        <w:rPr>
          <w:rFonts w:ascii="Times New Roman" w:hAnsi="Times New Roman" w:cs="Times New Roman"/>
          <w:sz w:val="24"/>
          <w:szCs w:val="24"/>
        </w:rPr>
        <w:t>cipal nº 1.361/2005, sem registros de suspensão ou perda de seu caráter de utilidade pública no período a ser reconhecido.</w:t>
      </w:r>
    </w:p>
    <w:p w14:paraId="2C3E3D4E" w14:textId="77777777" w:rsidR="00030325" w:rsidRPr="00B54AF6" w:rsidRDefault="00030325" w:rsidP="00030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E2089" w14:textId="46FC7E13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E1F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030325" w:rsidRPr="007E4E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E4E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54AF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EE05C4C" w14:textId="77777777" w:rsid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C1F83" w14:textId="77777777" w:rsid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84BE5E" w14:textId="666BD442" w:rsid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E4E1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agosto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2E7D2272" w14:textId="77777777" w:rsidR="00C13FD5" w:rsidRDefault="00C13FD5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9B904" w14:textId="77777777" w:rsidR="00C13FD5" w:rsidRDefault="00C13FD5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6E7" w14:paraId="26E87146" w14:textId="77777777" w:rsidTr="00B54AF6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73B5B4EF" w14:textId="77777777" w:rsidR="00B54AF6" w:rsidRDefault="00C33304" w:rsidP="00B54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RODRIGO MATTERAZZI </w:t>
            </w:r>
          </w:p>
          <w:p w14:paraId="672238C3" w14:textId="2C6A8B20" w:rsidR="00B54AF6" w:rsidRPr="00B54AF6" w:rsidRDefault="00C33304" w:rsidP="00B54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167E2EB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9C2AD4" w14:textId="45DD97C6" w:rsidR="00B31C84" w:rsidRPr="00B54AF6" w:rsidRDefault="00C33304" w:rsidP="00B54AF6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9416C29" w14:textId="77777777" w:rsidR="00B31C84" w:rsidRPr="00B54AF6" w:rsidRDefault="00B31C84" w:rsidP="00B54A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0B165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A proposição que ora apresentamos surge da premente necessidade de aprimorar os mecanismos de controle social e fiscalização sobre a atuação das entidades de utilidade pública em nosso</w:t>
      </w:r>
      <w:r w:rsidRPr="00B54AF6">
        <w:rPr>
          <w:rFonts w:ascii="Times New Roman" w:hAnsi="Times New Roman" w:cs="Times New Roman"/>
          <w:sz w:val="24"/>
          <w:szCs w:val="24"/>
        </w:rPr>
        <w:t xml:space="preserve"> Município. Embora a Lei Municipal nº 1.361/2005 estabeleça as bases para a declaração de utilidade pública, percebe-se uma lacuna em relação a instrumentos que garantam a efetiva transparência, a prestação de contas contínua e a avaliação do impacto socia</w:t>
      </w:r>
      <w:r w:rsidRPr="00B54AF6">
        <w:rPr>
          <w:rFonts w:ascii="Times New Roman" w:hAnsi="Times New Roman" w:cs="Times New Roman"/>
          <w:sz w:val="24"/>
          <w:szCs w:val="24"/>
        </w:rPr>
        <w:t>l das atividades desenvolvidas por essas importantes instituições.</w:t>
      </w:r>
    </w:p>
    <w:p w14:paraId="573C53EF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23022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As entidades de utilidade pública desempenham um papel fundamental na promoção do bem-estar social, na oferta de serviços complementares e no fortalecimento da cidadania em Sorriso. No ent</w:t>
      </w:r>
      <w:r w:rsidRPr="00B54AF6">
        <w:rPr>
          <w:rFonts w:ascii="Times New Roman" w:hAnsi="Times New Roman" w:cs="Times New Roman"/>
          <w:sz w:val="24"/>
          <w:szCs w:val="24"/>
        </w:rPr>
        <w:t>anto, o reconhecimento de sua importância vem acompanhado da responsabilidade de gerir recursos (públicos e privados) com a máxima probidade e de atuar em estrita consonância com seus fins estatutários e a legislação vigente.</w:t>
      </w:r>
    </w:p>
    <w:p w14:paraId="2DB0AA85" w14:textId="77777777" w:rsidR="00B54AF6" w:rsidRPr="00B54AF6" w:rsidRDefault="00B54AF6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5D43EB" w14:textId="77777777" w:rsidR="00061773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Nesse contexto, o Projeto "Tr</w:t>
      </w:r>
      <w:r w:rsidRPr="00B54AF6">
        <w:rPr>
          <w:rFonts w:ascii="Times New Roman" w:hAnsi="Times New Roman" w:cs="Times New Roman"/>
          <w:sz w:val="24"/>
          <w:szCs w:val="24"/>
        </w:rPr>
        <w:t>ansparência e Reconhecimento Cidadão" visa a:</w:t>
      </w:r>
    </w:p>
    <w:p w14:paraId="760B5BE6" w14:textId="77777777" w:rsidR="00B54AF6" w:rsidRPr="00B54AF6" w:rsidRDefault="00B54AF6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377B8" w14:textId="77777777" w:rsidR="00061773" w:rsidRPr="00B54AF6" w:rsidRDefault="00C33304" w:rsidP="00B54AF6">
      <w:pPr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Assegurar a Transparência e a Efetividade:</w:t>
      </w:r>
      <w:r w:rsidRPr="00B54AF6">
        <w:rPr>
          <w:rFonts w:ascii="Times New Roman" w:hAnsi="Times New Roman" w:cs="Times New Roman"/>
          <w:sz w:val="24"/>
          <w:szCs w:val="24"/>
        </w:rPr>
        <w:t xml:space="preserve"> Implementando um sistema padronizado de prestação de contas e relatórios anuais de atividades, o projeto permitirá à Câmara Municipal e à sociedade civil monitorar de</w:t>
      </w:r>
      <w:r w:rsidRPr="00B54AF6">
        <w:rPr>
          <w:rFonts w:ascii="Times New Roman" w:hAnsi="Times New Roman" w:cs="Times New Roman"/>
          <w:sz w:val="24"/>
          <w:szCs w:val="24"/>
        </w:rPr>
        <w:t xml:space="preserve"> forma mais eficaz a origem e a aplicação dos recursos, bem como os resultados alcançados pelas entidades.</w:t>
      </w:r>
    </w:p>
    <w:p w14:paraId="4814B685" w14:textId="77777777" w:rsidR="00061773" w:rsidRPr="00B54AF6" w:rsidRDefault="00C33304" w:rsidP="00B54AF6">
      <w:pPr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>Fortalecer o Controle Social:</w:t>
      </w:r>
      <w:r w:rsidRPr="00B54AF6">
        <w:rPr>
          <w:rFonts w:ascii="Times New Roman" w:hAnsi="Times New Roman" w:cs="Times New Roman"/>
          <w:sz w:val="24"/>
          <w:szCs w:val="24"/>
        </w:rPr>
        <w:t xml:space="preserve"> Ao tornar as informações mais acessíveis e ao estabelecer critérios claros de fiscalização, a proposta </w:t>
      </w:r>
      <w:proofErr w:type="spellStart"/>
      <w:r w:rsidRPr="00B54AF6">
        <w:rPr>
          <w:rFonts w:ascii="Times New Roman" w:hAnsi="Times New Roman" w:cs="Times New Roman"/>
          <w:sz w:val="24"/>
          <w:szCs w:val="24"/>
        </w:rPr>
        <w:t>empodera</w:t>
      </w:r>
      <w:proofErr w:type="spellEnd"/>
      <w:r w:rsidRPr="00B54AF6">
        <w:rPr>
          <w:rFonts w:ascii="Times New Roman" w:hAnsi="Times New Roman" w:cs="Times New Roman"/>
          <w:sz w:val="24"/>
          <w:szCs w:val="24"/>
        </w:rPr>
        <w:t xml:space="preserve"> o cidadão para exercer seu papel de fiscalizador, contribuindo para a boa gestão e para a moralidade administrativa.</w:t>
      </w:r>
    </w:p>
    <w:p w14:paraId="5DAADCA3" w14:textId="77777777" w:rsidR="00061773" w:rsidRDefault="00C33304" w:rsidP="00B54AF6">
      <w:pPr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b/>
          <w:bCs/>
          <w:sz w:val="24"/>
          <w:szCs w:val="24"/>
        </w:rPr>
        <w:t xml:space="preserve">Reconhecer e Valorizar as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Boas Práticas:</w:t>
      </w:r>
      <w:r w:rsidRPr="00B54AF6">
        <w:rPr>
          <w:rFonts w:ascii="Times New Roman" w:hAnsi="Times New Roman" w:cs="Times New Roman"/>
          <w:sz w:val="24"/>
          <w:szCs w:val="24"/>
        </w:rPr>
        <w:t xml:space="preserve"> Além da fiscalização, o projeto institui mecanismos de reconhecimento, como o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"Selo de Boas Práticas e Transparência da Câmara Municipal de Sorriso"</w:t>
      </w:r>
      <w:r w:rsidRPr="00B54AF6">
        <w:rPr>
          <w:rFonts w:ascii="Times New Roman" w:hAnsi="Times New Roman" w:cs="Times New Roman"/>
          <w:sz w:val="24"/>
          <w:szCs w:val="24"/>
        </w:rPr>
        <w:t xml:space="preserve">, o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"Prêmio Entidade Cidadã Destaque de Sorriso"</w:t>
      </w:r>
      <w:r w:rsidRPr="00B54AF6">
        <w:rPr>
          <w:rFonts w:ascii="Times New Roman" w:hAnsi="Times New Roman" w:cs="Times New Roman"/>
          <w:sz w:val="24"/>
          <w:szCs w:val="24"/>
        </w:rPr>
        <w:t xml:space="preserve"> e o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"Prêmio Longevidade Cidadã"</w:t>
      </w:r>
      <w:r w:rsidRPr="00B54AF6">
        <w:rPr>
          <w:rFonts w:ascii="Times New Roman" w:hAnsi="Times New Roman" w:cs="Times New Roman"/>
          <w:sz w:val="24"/>
          <w:szCs w:val="24"/>
        </w:rPr>
        <w:t>. Essas homen</w:t>
      </w:r>
      <w:r w:rsidRPr="00B54AF6">
        <w:rPr>
          <w:rFonts w:ascii="Times New Roman" w:hAnsi="Times New Roman" w:cs="Times New Roman"/>
          <w:sz w:val="24"/>
          <w:szCs w:val="24"/>
        </w:rPr>
        <w:t>agens públicas são um poderoso incentivo à profissionalização, à inovação e à excelência na gestão do terceiro setor, valorizando as entidades que de fato geram relevante impacto social em nossa comunidade.</w:t>
      </w:r>
    </w:p>
    <w:p w14:paraId="7D708F1E" w14:textId="77777777" w:rsidR="00B54AF6" w:rsidRPr="00B54AF6" w:rsidRDefault="00B54AF6" w:rsidP="00B54AF6">
      <w:pPr>
        <w:spacing w:after="0" w:line="27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DF4EA0" w14:textId="77777777" w:rsidR="00061773" w:rsidRPr="00B54AF6" w:rsidRDefault="00C33304" w:rsidP="00B54AF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t>Acreditamos que a aprovação deste Projeto de Lei</w:t>
      </w:r>
      <w:r w:rsidRPr="00B54AF6">
        <w:rPr>
          <w:rFonts w:ascii="Times New Roman" w:hAnsi="Times New Roman" w:cs="Times New Roman"/>
          <w:sz w:val="24"/>
          <w:szCs w:val="24"/>
        </w:rPr>
        <w:t xml:space="preserve"> representa um passo significativo para a consolidação de uma cultura de transparência e responsabilidade em Sorriso. Ele reforça os princípios constitucionais da legalidade, impessoalidade, moralidade, publicidade e eficiência que regem a Administração Pú</w:t>
      </w:r>
      <w:r w:rsidRPr="00B54AF6">
        <w:rPr>
          <w:rFonts w:ascii="Times New Roman" w:hAnsi="Times New Roman" w:cs="Times New Roman"/>
          <w:sz w:val="24"/>
          <w:szCs w:val="24"/>
        </w:rPr>
        <w:t>blica e fortalece a relação de confiança entre o poder público, as entidades da sociedade civil e os cidadãos.</w:t>
      </w:r>
    </w:p>
    <w:p w14:paraId="57D8422A" w14:textId="77777777" w:rsidR="00061773" w:rsidRDefault="00C33304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lastRenderedPageBreak/>
        <w:t xml:space="preserve">Certo da importância da matéria e da sensibilidade de Vossas Excelências para com o desenvolvimento social de nosso Município, contamos com o </w:t>
      </w:r>
      <w:r w:rsidRPr="00B54AF6">
        <w:rPr>
          <w:rFonts w:ascii="Times New Roman" w:hAnsi="Times New Roman" w:cs="Times New Roman"/>
          <w:sz w:val="24"/>
          <w:szCs w:val="24"/>
        </w:rPr>
        <w:t>apoio e a aprovação deste relevante Projeto de Lei.</w:t>
      </w:r>
    </w:p>
    <w:p w14:paraId="37B86894" w14:textId="77777777" w:rsidR="00C13FD5" w:rsidRDefault="00C13FD5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7DA66" w14:textId="77777777" w:rsidR="00C13FD5" w:rsidRDefault="00C13FD5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681C0" w14:textId="07DD35A0" w:rsid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E4E1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agosto de 2025.</w:t>
      </w:r>
    </w:p>
    <w:p w14:paraId="6EEA3FFA" w14:textId="77777777" w:rsid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64ED6A" w14:textId="77777777" w:rsid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C0F6A4" w14:textId="77777777" w:rsid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39E119" w14:textId="77777777" w:rsid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6E7" w14:paraId="5C62B062" w14:textId="77777777" w:rsidTr="00C13FD5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0A9691C6" w14:textId="77777777" w:rsidR="00C13FD5" w:rsidRDefault="00C33304" w:rsidP="00C13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502CA92B" w14:textId="1B723C57" w:rsidR="00C13FD5" w:rsidRPr="00C13FD5" w:rsidRDefault="00C33304" w:rsidP="00C13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B1F72DD" w14:textId="77777777" w:rsid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311C05" w14:textId="6525EDD5" w:rsidR="00047532" w:rsidRPr="00C13FD5" w:rsidRDefault="00C33304" w:rsidP="00C13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4AF6">
        <w:rPr>
          <w:rFonts w:ascii="Times New Roman" w:hAnsi="Times New Roman" w:cs="Times New Roman"/>
          <w:sz w:val="24"/>
          <w:szCs w:val="24"/>
        </w:rPr>
        <w:br w:type="page"/>
      </w:r>
      <w:r w:rsidR="00C13FD5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C13FD5">
        <w:rPr>
          <w:rFonts w:ascii="Times New Roman" w:hAnsi="Times New Roman" w:cs="Times New Roman"/>
          <w:sz w:val="24"/>
          <w:szCs w:val="24"/>
        </w:rPr>
        <w:t>EDAÇÃO CONSOLIDADA APÓS A ALTERAÇÃO PROPOSTA:</w:t>
      </w:r>
    </w:p>
    <w:p w14:paraId="4EB4861B" w14:textId="77777777" w:rsidR="00C13FD5" w:rsidRPr="00C13FD5" w:rsidRDefault="00C13FD5" w:rsidP="00C13FD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FE35AC" w14:textId="451CC16C" w:rsidR="00047532" w:rsidRDefault="00C33304" w:rsidP="00C13FD5">
      <w:pPr>
        <w:spacing w:after="0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D5">
        <w:rPr>
          <w:rFonts w:ascii="Times New Roman" w:hAnsi="Times New Roman" w:cs="Times New Roman"/>
          <w:b/>
          <w:bCs/>
          <w:sz w:val="24"/>
          <w:szCs w:val="24"/>
        </w:rPr>
        <w:t xml:space="preserve">LEI MUNICIPAL Nº 1.361, DE </w:t>
      </w:r>
      <w:r w:rsidRPr="00C13FD5">
        <w:rPr>
          <w:rFonts w:ascii="Times New Roman" w:hAnsi="Times New Roman" w:cs="Times New Roman"/>
          <w:b/>
          <w:bCs/>
          <w:sz w:val="24"/>
          <w:szCs w:val="24"/>
        </w:rPr>
        <w:t>09 DE JUNHO DE 2005</w:t>
      </w:r>
      <w:r w:rsidRPr="00C13FD5">
        <w:rPr>
          <w:rFonts w:ascii="Times New Roman" w:hAnsi="Times New Roman" w:cs="Times New Roman"/>
          <w:sz w:val="24"/>
          <w:szCs w:val="24"/>
        </w:rPr>
        <w:t xml:space="preserve"> </w:t>
      </w:r>
      <w:r w:rsidRPr="00C13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(Consolidada com as alterações propostas no Projeto de Lei Municipal Nº XX, de XX de julho de 2025)</w:t>
      </w:r>
      <w:r w:rsidR="00C13F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4AF6">
        <w:rPr>
          <w:rFonts w:ascii="Times New Roman" w:hAnsi="Times New Roman" w:cs="Times New Roman"/>
          <w:b/>
          <w:bCs/>
          <w:sz w:val="24"/>
          <w:szCs w:val="24"/>
        </w:rPr>
        <w:t>DETERMINA NORMAS PELAS QUAIS SÃO AS SOCIEDADES DECLARADAS DE UTILIDADE PÚBLICA, E DÁ OUTRAS PROVIDÊNCIAS.</w:t>
      </w:r>
    </w:p>
    <w:p w14:paraId="4227AB62" w14:textId="77777777" w:rsidR="00C13FD5" w:rsidRPr="00B54AF6" w:rsidRDefault="00C13FD5" w:rsidP="00C13FD5">
      <w:pPr>
        <w:spacing w:after="0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14:paraId="505DE778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O Prefeito Municipal de Sorri</w:t>
      </w:r>
      <w:r w:rsidRPr="00C13FD5">
        <w:rPr>
          <w:rFonts w:ascii="Times New Roman" w:hAnsi="Times New Roman" w:cs="Times New Roman"/>
          <w:sz w:val="24"/>
          <w:szCs w:val="24"/>
        </w:rPr>
        <w:t>so, Estado de Mato Grosso, faz saber que a Câmara Municipal de Vereadores aprovou e ele sanciona a seguinte Lei:</w:t>
      </w:r>
    </w:p>
    <w:p w14:paraId="5A06C6A7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03F02D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1º A sociedade civil, a associação ou a fundação constituída ou em funcionamento no Município com o fim exclusivo de servir desinteressad</w:t>
      </w:r>
      <w:r w:rsidRPr="00C13FD5">
        <w:rPr>
          <w:rFonts w:ascii="Times New Roman" w:hAnsi="Times New Roman" w:cs="Times New Roman"/>
          <w:sz w:val="24"/>
          <w:szCs w:val="24"/>
        </w:rPr>
        <w:t xml:space="preserve">amente à coletividade pode ser declarada de utilidade pública, mediante Lei Municipal, desde que comprove: </w:t>
      </w:r>
    </w:p>
    <w:p w14:paraId="3A8AF384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54BEC5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a) Que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adquiriu personalidade jurídica; </w:t>
      </w:r>
    </w:p>
    <w:p w14:paraId="3D85B438" w14:textId="4221BCCC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b) Que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está em efetivo e contínuo funcionamento a mais de seis meses com a exata observância dos seus esta</w:t>
      </w:r>
      <w:r w:rsidRPr="00C13FD5">
        <w:rPr>
          <w:rFonts w:ascii="Times New Roman" w:hAnsi="Times New Roman" w:cs="Times New Roman"/>
          <w:sz w:val="24"/>
          <w:szCs w:val="24"/>
        </w:rPr>
        <w:t xml:space="preserve">tutos. </w:t>
      </w:r>
    </w:p>
    <w:p w14:paraId="4D5FA913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c) Que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os cargos de sua diretoria, conselhos fiscais, deliberativos ou consultivos não são remunerados; </w:t>
      </w:r>
    </w:p>
    <w:p w14:paraId="69E62AD9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d) Que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seus diretores são pessoas de moralidade comprovada. </w:t>
      </w:r>
    </w:p>
    <w:p w14:paraId="2A639698" w14:textId="77777777" w:rsidR="00C13FD5" w:rsidRPr="00C13FD5" w:rsidRDefault="00C13FD5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FE9F12D" w14:textId="118A0652" w:rsidR="00047532" w:rsidRPr="00C13FD5" w:rsidRDefault="00C33304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2º Os requerimentos de concessão de título de utilidade pública municipal de</w:t>
      </w:r>
      <w:r w:rsidRPr="00C13FD5">
        <w:rPr>
          <w:rFonts w:ascii="Times New Roman" w:hAnsi="Times New Roman" w:cs="Times New Roman"/>
          <w:sz w:val="24"/>
          <w:szCs w:val="24"/>
        </w:rPr>
        <w:t xml:space="preserve">verão conter em anexo a seguinte documentação: </w:t>
      </w:r>
    </w:p>
    <w:p w14:paraId="754BDCDB" w14:textId="77777777" w:rsidR="00C13FD5" w:rsidRPr="00C13FD5" w:rsidRDefault="00C13FD5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60604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a) Estatuto, registrado em cartório (cópia autenticada); </w:t>
      </w:r>
    </w:p>
    <w:p w14:paraId="69B1A9E8" w14:textId="1C241EED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b) </w:t>
      </w:r>
      <w:r w:rsidR="00C13FD5" w:rsidRPr="00C13FD5">
        <w:rPr>
          <w:rFonts w:ascii="Times New Roman" w:hAnsi="Times New Roman" w:cs="Times New Roman"/>
          <w:sz w:val="24"/>
          <w:szCs w:val="24"/>
        </w:rPr>
        <w:t>Cópia</w:t>
      </w:r>
      <w:r w:rsidRPr="00C13FD5">
        <w:rPr>
          <w:rFonts w:ascii="Times New Roman" w:hAnsi="Times New Roman" w:cs="Times New Roman"/>
          <w:sz w:val="24"/>
          <w:szCs w:val="24"/>
        </w:rPr>
        <w:t xml:space="preserve"> autenticada da inscrição no CNPJ; </w:t>
      </w:r>
    </w:p>
    <w:p w14:paraId="5FD01D32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c) Ata de eleição da diretoria atual (registrada em cartório e autenticada); </w:t>
      </w:r>
    </w:p>
    <w:p w14:paraId="4DFCE0ED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d) Demonstrativo das receit</w:t>
      </w:r>
      <w:r w:rsidRPr="00C13FD5">
        <w:rPr>
          <w:rFonts w:ascii="Times New Roman" w:hAnsi="Times New Roman" w:cs="Times New Roman"/>
          <w:sz w:val="24"/>
          <w:szCs w:val="24"/>
        </w:rPr>
        <w:t xml:space="preserve">as e despesas e relatório quantitativo e qualitativo das atividades desenvolvidas pela entidade no último exercício. </w:t>
      </w:r>
    </w:p>
    <w:p w14:paraId="04D0DF2D" w14:textId="77777777" w:rsidR="00C13FD5" w:rsidRPr="00C13FD5" w:rsidRDefault="00C13FD5" w:rsidP="00B54A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F789C5" w14:textId="7078C91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Art. 3º O nome e características da sociedade, associação ou fundação declarada de utilidade pública, serão inscritos em livro especial, </w:t>
      </w:r>
      <w:r w:rsidRPr="00C13FD5">
        <w:rPr>
          <w:rFonts w:ascii="Times New Roman" w:hAnsi="Times New Roman" w:cs="Times New Roman"/>
          <w:sz w:val="24"/>
          <w:szCs w:val="24"/>
        </w:rPr>
        <w:t xml:space="preserve">mantido pelo órgão municipal competente, que se destinará também ao registro dos documentos de comprovação exigidos nos Artigos 1º e 2º desta Lei e à averbação da remessa dos relatórios a que se refere o Artigo 4º desta Lei. </w:t>
      </w:r>
    </w:p>
    <w:p w14:paraId="31261A04" w14:textId="77777777" w:rsidR="00C13FD5" w:rsidRPr="00C13FD5" w:rsidRDefault="00C13FD5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D186A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Art. 4º As entidades declaradas de utilidade pública ficam obrigadas a apresentar ao órgão municipal competente, até o dia 30 de abril de cada ano, relatório circunstanciado dos serviços que houverem prestado à coletividade no ano anterior, </w:t>
      </w:r>
      <w:r w:rsidRPr="00C13FD5">
        <w:rPr>
          <w:rFonts w:ascii="Times New Roman" w:hAnsi="Times New Roman" w:cs="Times New Roman"/>
          <w:sz w:val="24"/>
          <w:szCs w:val="24"/>
        </w:rPr>
        <w:lastRenderedPageBreak/>
        <w:t>devidamente aco</w:t>
      </w:r>
      <w:r w:rsidRPr="00C13FD5">
        <w:rPr>
          <w:rFonts w:ascii="Times New Roman" w:hAnsi="Times New Roman" w:cs="Times New Roman"/>
          <w:sz w:val="24"/>
          <w:szCs w:val="24"/>
        </w:rPr>
        <w:t>mpanhado do demonstrativo da receita e da despesa realizada no período, ainda que não tenham sido subvencionadas.</w:t>
      </w:r>
    </w:p>
    <w:p w14:paraId="5C613ADC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FCBC07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Art. 5º A declaração de utilidade pública terá validade de dois anos, contados da data de publicação da Lei que a concedeu, ou da última </w:t>
      </w:r>
      <w:r w:rsidRPr="00C13FD5">
        <w:rPr>
          <w:rFonts w:ascii="Times New Roman" w:hAnsi="Times New Roman" w:cs="Times New Roman"/>
          <w:sz w:val="24"/>
          <w:szCs w:val="24"/>
        </w:rPr>
        <w:t>revalidação.</w:t>
      </w:r>
    </w:p>
    <w:p w14:paraId="5E3CBEAA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C61130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§ 1º Para a manutenção do título, a entidade deverá protocolar requerimento de revalidação junto ao órgão municipal competente, no prazo de até 90 (noventa) dias antes do término da validade, instruído com a documentação atualizada que compro</w:t>
      </w:r>
      <w:r w:rsidRPr="00C13FD5">
        <w:rPr>
          <w:rFonts w:ascii="Times New Roman" w:hAnsi="Times New Roman" w:cs="Times New Roman"/>
          <w:sz w:val="24"/>
          <w:szCs w:val="24"/>
        </w:rPr>
        <w:t>ve a continuidade do atendimento aos requisitos do Art. 1º e a regularidade das obrigações do Art. 4º desta Lei.</w:t>
      </w:r>
    </w:p>
    <w:p w14:paraId="43F0EADF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8E4491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§ 2º O órgão municipal competente analisará o requerimento de revalidação no prazo de 60 (sessenta) dias, podendo solicitar informações e docu</w:t>
      </w:r>
      <w:r w:rsidRPr="00C13FD5">
        <w:rPr>
          <w:rFonts w:ascii="Times New Roman" w:hAnsi="Times New Roman" w:cs="Times New Roman"/>
          <w:sz w:val="24"/>
          <w:szCs w:val="24"/>
        </w:rPr>
        <w:t>mentos complementares.</w:t>
      </w:r>
    </w:p>
    <w:p w14:paraId="21C4C47A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E93855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§ 3º A não apresentação do requerimento de revalidação no prazo estabelecido, ou o não atendimento aos requisitos exigidos, implicará na automática extinção da declaração de utilidade pública, mediante ato declaratório do Poder Exec</w:t>
      </w:r>
      <w:r w:rsidRPr="00C13FD5">
        <w:rPr>
          <w:rFonts w:ascii="Times New Roman" w:hAnsi="Times New Roman" w:cs="Times New Roman"/>
          <w:sz w:val="24"/>
          <w:szCs w:val="24"/>
        </w:rPr>
        <w:t>utivo, que será publicado no Diário Oficial do Município.</w:t>
      </w:r>
    </w:p>
    <w:p w14:paraId="145BE5B7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CE8483" w14:textId="77777777" w:rsidR="00C13FD5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Art. 6º Será cassada a declaração de utilidade pública da entidade que: </w:t>
      </w:r>
    </w:p>
    <w:p w14:paraId="6922DD8F" w14:textId="217774F4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a) Deixar de apresentar o relatório a que se refere o artigo anterior; </w:t>
      </w:r>
    </w:p>
    <w:p w14:paraId="799A9821" w14:textId="77777777" w:rsidR="00047532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b) Quando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ficar comprovado que ela deixou de preench</w:t>
      </w:r>
      <w:r w:rsidRPr="00C13FD5">
        <w:rPr>
          <w:rFonts w:ascii="Times New Roman" w:hAnsi="Times New Roman" w:cs="Times New Roman"/>
          <w:sz w:val="24"/>
          <w:szCs w:val="24"/>
        </w:rPr>
        <w:t xml:space="preserve">er qualquer dos requisitos do artigo 1º desta Lei; </w:t>
      </w:r>
    </w:p>
    <w:p w14:paraId="4F633710" w14:textId="77777777" w:rsidR="00C13FD5" w:rsidRPr="00C13FD5" w:rsidRDefault="00C33304" w:rsidP="00C13FD5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FD5">
        <w:rPr>
          <w:rFonts w:ascii="Times New Roman" w:hAnsi="Times New Roman" w:cs="Times New Roman"/>
          <w:sz w:val="24"/>
          <w:szCs w:val="24"/>
        </w:rPr>
        <w:t>c) Se</w:t>
      </w:r>
      <w:proofErr w:type="gramEnd"/>
      <w:r w:rsidRPr="00C13FD5">
        <w:rPr>
          <w:rFonts w:ascii="Times New Roman" w:hAnsi="Times New Roman" w:cs="Times New Roman"/>
          <w:sz w:val="24"/>
          <w:szCs w:val="24"/>
        </w:rPr>
        <w:t xml:space="preserve"> negar a prestar serviço compreendido em seus fins estatutários.</w:t>
      </w:r>
    </w:p>
    <w:p w14:paraId="3ACB1A62" w14:textId="53BE878E" w:rsidR="00047532" w:rsidRPr="00C13FD5" w:rsidRDefault="00C33304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FE6C3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7º (revogado)</w:t>
      </w:r>
    </w:p>
    <w:p w14:paraId="53E0A3EE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04936C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8º (revogado)</w:t>
      </w:r>
    </w:p>
    <w:p w14:paraId="0082E516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C164B2" w14:textId="45355F5E" w:rsidR="00C13FD5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9º As entidades já reconhecidas como de utilidade pública antes da entrada em vigor des</w:t>
      </w:r>
      <w:r w:rsidRPr="00C13FD5">
        <w:rPr>
          <w:rFonts w:ascii="Times New Roman" w:hAnsi="Times New Roman" w:cs="Times New Roman"/>
          <w:sz w:val="24"/>
          <w:szCs w:val="24"/>
        </w:rPr>
        <w:t>ta Lei terão o prazo de 01 (um) ano, a contar da data de sua publicação, para protocolar o requerimento de revalidação da declaração de utilidade pública, nos termos do disposto no Art. 5º desta Lei, sob pena de extinção automática do título.</w:t>
      </w:r>
    </w:p>
    <w:p w14:paraId="7072DB1B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10. Esta</w:t>
      </w:r>
      <w:r w:rsidRPr="00C13FD5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14:paraId="5AB18B58" w14:textId="77777777" w:rsidR="00C13FD5" w:rsidRPr="00C13FD5" w:rsidRDefault="00C13FD5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C9672" w14:textId="77777777" w:rsidR="00047532" w:rsidRPr="00C13FD5" w:rsidRDefault="00C33304" w:rsidP="00C13FD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D5">
        <w:rPr>
          <w:rFonts w:ascii="Times New Roman" w:hAnsi="Times New Roman" w:cs="Times New Roman"/>
          <w:sz w:val="24"/>
          <w:szCs w:val="24"/>
        </w:rPr>
        <w:t>Art. 11. Revogam-se as disposições em contrário.</w:t>
      </w:r>
    </w:p>
    <w:p w14:paraId="365640AF" w14:textId="77777777" w:rsidR="00C13FD5" w:rsidRPr="00B54AF6" w:rsidRDefault="00C13FD5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50517" w14:textId="7EF54EC8" w:rsidR="00047532" w:rsidRPr="00B54AF6" w:rsidRDefault="00047532" w:rsidP="00B5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7532" w:rsidRPr="00B54AF6" w:rsidSect="007E4E1F">
      <w:footerReference w:type="default" r:id="rId8"/>
      <w:pgSz w:w="11906" w:h="16838"/>
      <w:pgMar w:top="2410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2F26" w14:textId="77777777" w:rsidR="00C33304" w:rsidRDefault="00C33304" w:rsidP="007E4E1F">
      <w:pPr>
        <w:spacing w:after="0" w:line="240" w:lineRule="auto"/>
      </w:pPr>
      <w:r>
        <w:separator/>
      </w:r>
    </w:p>
  </w:endnote>
  <w:endnote w:type="continuationSeparator" w:id="0">
    <w:p w14:paraId="7ABC3B20" w14:textId="77777777" w:rsidR="00C33304" w:rsidRDefault="00C33304" w:rsidP="007E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945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B3EE01" w14:textId="07A17688" w:rsidR="007E4E1F" w:rsidRDefault="007E4E1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CE857" w14:textId="77777777" w:rsidR="007E4E1F" w:rsidRDefault="007E4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7771" w14:textId="77777777" w:rsidR="00C33304" w:rsidRDefault="00C33304" w:rsidP="007E4E1F">
      <w:pPr>
        <w:spacing w:after="0" w:line="240" w:lineRule="auto"/>
      </w:pPr>
      <w:r>
        <w:separator/>
      </w:r>
    </w:p>
  </w:footnote>
  <w:footnote w:type="continuationSeparator" w:id="0">
    <w:p w14:paraId="6FD1806A" w14:textId="77777777" w:rsidR="00C33304" w:rsidRDefault="00C33304" w:rsidP="007E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138" style="width:0;height:1.5pt" o:hralign="center" o:bullet="t" o:hrstd="t" o:hr="t" fillcolor="#a0a0a0" stroked="f"/>
    </w:pict>
  </w:numPicBullet>
  <w:numPicBullet w:numPicBulletId="1">
    <w:pict>
      <v:rect id="_x0000_i1139" style="width:0;height:1.5pt" o:hralign="center" o:bullet="t" o:hrstd="t" o:hr="t" fillcolor="#a0a0a0" stroked="f"/>
    </w:pict>
  </w:numPicBullet>
  <w:abstractNum w:abstractNumId="0" w15:restartNumberingAfterBreak="0">
    <w:nsid w:val="156B59B3"/>
    <w:multiLevelType w:val="multilevel"/>
    <w:tmpl w:val="EDA8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63217"/>
    <w:multiLevelType w:val="multilevel"/>
    <w:tmpl w:val="A9F2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A779D"/>
    <w:multiLevelType w:val="hybridMultilevel"/>
    <w:tmpl w:val="040453CA"/>
    <w:lvl w:ilvl="0" w:tplc="0E2CFC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ED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AF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A7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E8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2E0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96F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81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304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011108"/>
    <w:multiLevelType w:val="multilevel"/>
    <w:tmpl w:val="29C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B3BA2"/>
    <w:multiLevelType w:val="hybridMultilevel"/>
    <w:tmpl w:val="FFBA1C68"/>
    <w:lvl w:ilvl="0" w:tplc="C32AA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89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4D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207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C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EC1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CA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C2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0CF8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22"/>
    <w:rsid w:val="00016766"/>
    <w:rsid w:val="00022721"/>
    <w:rsid w:val="00030325"/>
    <w:rsid w:val="00035458"/>
    <w:rsid w:val="00047532"/>
    <w:rsid w:val="00061773"/>
    <w:rsid w:val="000636E7"/>
    <w:rsid w:val="000D7B6A"/>
    <w:rsid w:val="000E4EFB"/>
    <w:rsid w:val="0015741B"/>
    <w:rsid w:val="001E17F8"/>
    <w:rsid w:val="0025640D"/>
    <w:rsid w:val="002B60A9"/>
    <w:rsid w:val="003217B4"/>
    <w:rsid w:val="00347237"/>
    <w:rsid w:val="003822CF"/>
    <w:rsid w:val="003C0D4C"/>
    <w:rsid w:val="004461A6"/>
    <w:rsid w:val="004875DF"/>
    <w:rsid w:val="005369F5"/>
    <w:rsid w:val="00674E76"/>
    <w:rsid w:val="00680DBB"/>
    <w:rsid w:val="00682711"/>
    <w:rsid w:val="006C4EAB"/>
    <w:rsid w:val="00704DEA"/>
    <w:rsid w:val="00725B20"/>
    <w:rsid w:val="007E4E1F"/>
    <w:rsid w:val="00801FE1"/>
    <w:rsid w:val="0082209B"/>
    <w:rsid w:val="00831273"/>
    <w:rsid w:val="008615C7"/>
    <w:rsid w:val="008D4F36"/>
    <w:rsid w:val="00996204"/>
    <w:rsid w:val="009D5047"/>
    <w:rsid w:val="00B31C84"/>
    <w:rsid w:val="00B41D33"/>
    <w:rsid w:val="00B54AF6"/>
    <w:rsid w:val="00BA5C3B"/>
    <w:rsid w:val="00BC5BE2"/>
    <w:rsid w:val="00C13FD5"/>
    <w:rsid w:val="00C33304"/>
    <w:rsid w:val="00C9421D"/>
    <w:rsid w:val="00CA5022"/>
    <w:rsid w:val="00CF36D0"/>
    <w:rsid w:val="00D02C98"/>
    <w:rsid w:val="00D349A6"/>
    <w:rsid w:val="00D5377D"/>
    <w:rsid w:val="00D628F4"/>
    <w:rsid w:val="00D77B7F"/>
    <w:rsid w:val="00DB6472"/>
    <w:rsid w:val="00DE015A"/>
    <w:rsid w:val="00E02D15"/>
    <w:rsid w:val="00E71982"/>
    <w:rsid w:val="00E72A8C"/>
    <w:rsid w:val="00E930D2"/>
    <w:rsid w:val="00EC0E11"/>
    <w:rsid w:val="00EE0751"/>
    <w:rsid w:val="00F01577"/>
    <w:rsid w:val="00F14E42"/>
    <w:rsid w:val="00F74FA8"/>
    <w:rsid w:val="00FA4816"/>
    <w:rsid w:val="00FB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FE395"/>
  <w15:chartTrackingRefBased/>
  <w15:docId w15:val="{0587C0D0-B075-4705-B4A2-FDD3758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3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3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3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36D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36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532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17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E4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E1F"/>
  </w:style>
  <w:style w:type="paragraph" w:styleId="Rodap">
    <w:name w:val="footer"/>
    <w:basedOn w:val="Normal"/>
    <w:link w:val="RodapChar"/>
    <w:uiPriority w:val="99"/>
    <w:unhideWhenUsed/>
    <w:rsid w:val="007E4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6841-0E6C-4B73-8586-B0235DFD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2427</Words>
  <Characters>13112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CAMARGO</dc:creator>
  <cp:lastModifiedBy>Timoteo</cp:lastModifiedBy>
  <cp:revision>8</cp:revision>
  <cp:lastPrinted>2025-06-03T11:41:00Z</cp:lastPrinted>
  <dcterms:created xsi:type="dcterms:W3CDTF">2025-08-07T12:57:00Z</dcterms:created>
  <dcterms:modified xsi:type="dcterms:W3CDTF">2025-08-14T11:40:00Z</dcterms:modified>
</cp:coreProperties>
</file>