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4BBB" w14:textId="3291CB66" w:rsidR="00B3022E" w:rsidRPr="00C81622" w:rsidRDefault="00B3022E" w:rsidP="00ED7BA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2F2F2" w:themeFill="background1" w:themeFillShade="F2"/>
        <w:spacing w:after="0" w:line="240" w:lineRule="auto"/>
        <w:ind w:firstLine="226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81622">
        <w:rPr>
          <w:rFonts w:ascii="Bookman Old Style" w:hAnsi="Bookman Old Style"/>
          <w:b/>
          <w:bCs/>
          <w:sz w:val="24"/>
          <w:szCs w:val="24"/>
        </w:rPr>
        <w:t xml:space="preserve">PARECER </w:t>
      </w:r>
      <w:r>
        <w:rPr>
          <w:rFonts w:ascii="Bookman Old Style" w:hAnsi="Bookman Old Style"/>
          <w:b/>
          <w:bCs/>
          <w:sz w:val="24"/>
          <w:szCs w:val="24"/>
        </w:rPr>
        <w:t>CONJUNTO</w:t>
      </w:r>
      <w:r w:rsidRPr="00C81622">
        <w:rPr>
          <w:rFonts w:ascii="Bookman Old Style" w:hAnsi="Bookman Old Style"/>
          <w:b/>
          <w:bCs/>
          <w:sz w:val="24"/>
          <w:szCs w:val="24"/>
        </w:rPr>
        <w:t xml:space="preserve"> N</w:t>
      </w:r>
      <w:r w:rsidRPr="00C8162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º</w:t>
      </w:r>
      <w:r w:rsidRPr="00C81622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6F4D48">
        <w:rPr>
          <w:rFonts w:ascii="Bookman Old Style" w:hAnsi="Bookman Old Style"/>
          <w:b/>
          <w:bCs/>
          <w:sz w:val="24"/>
          <w:szCs w:val="24"/>
        </w:rPr>
        <w:t>171-2025</w:t>
      </w:r>
    </w:p>
    <w:p w14:paraId="3B371C4D" w14:textId="77777777" w:rsidR="00B3022E" w:rsidRDefault="00B3022E" w:rsidP="00B3022E">
      <w:pPr>
        <w:spacing w:after="0" w:line="24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4C4587DE" w14:textId="77777777" w:rsidR="00B3022E" w:rsidRPr="0064096A" w:rsidRDefault="00B3022E" w:rsidP="00B3022E">
      <w:pPr>
        <w:spacing w:after="0" w:line="24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227A3DF2" w14:textId="77777777" w:rsidR="00B3022E" w:rsidRPr="00E5658E" w:rsidRDefault="00B3022E" w:rsidP="00B3022E">
      <w:pPr>
        <w:spacing w:after="0" w:line="240" w:lineRule="auto"/>
        <w:jc w:val="both"/>
        <w:rPr>
          <w:rFonts w:ascii="PMingLiU-ExtB" w:eastAsia="PMingLiU-ExtB" w:hAnsi="PMingLiU-ExtB"/>
          <w:sz w:val="24"/>
          <w:szCs w:val="24"/>
          <w:bdr w:val="dashDotStroked" w:sz="24" w:space="0" w:color="auto"/>
        </w:rPr>
      </w:pPr>
      <w:r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NOTA</w:t>
      </w:r>
      <w:r w:rsidRPr="00E5658E"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INICIAL</w:t>
      </w:r>
      <w:r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 </w:t>
      </w:r>
    </w:p>
    <w:p w14:paraId="46A72EC7" w14:textId="77777777" w:rsidR="00B3022E" w:rsidRPr="0064096A" w:rsidRDefault="00B3022E" w:rsidP="00B3022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6BA552C" w14:textId="77777777" w:rsidR="00B3022E" w:rsidRPr="005C6E85" w:rsidRDefault="00B3022E" w:rsidP="00B3022E">
      <w:pPr>
        <w:spacing w:after="0" w:line="240" w:lineRule="auto"/>
        <w:jc w:val="both"/>
        <w:rPr>
          <w:rFonts w:ascii="PMingLiU-ExtB" w:eastAsia="PMingLiU-ExtB" w:hAnsi="PMingLiU-ExtB"/>
          <w:i/>
          <w:iCs/>
          <w:sz w:val="24"/>
          <w:szCs w:val="24"/>
        </w:rPr>
      </w:pP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Ressalta-se que o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parecer jurídico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possui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caráter opinativo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não sendo vinculativo nem impositivo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à autoridade que o solicita. Assim,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a decisão final cabe exclusivamente à autoridade competente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que pode adotar ou não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as orientações indicadas no parecer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05623A67" w14:textId="77777777" w:rsidR="00B3022E" w:rsidRPr="005C6E85" w:rsidRDefault="00B3022E" w:rsidP="00B3022E">
      <w:pPr>
        <w:spacing w:after="0" w:line="240" w:lineRule="auto"/>
        <w:ind w:firstLine="2268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494106DB" w14:textId="77777777" w:rsidR="003A2E40" w:rsidRDefault="003A2E40" w:rsidP="00B3022E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2467247D" w14:textId="7EA2EA59" w:rsidR="00B3022E" w:rsidRPr="003A2E40" w:rsidRDefault="00B3022E" w:rsidP="003A2E4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3A2E40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Assunto:</w:t>
      </w:r>
      <w:r w:rsidRPr="003A2E4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3A2E40" w:rsidRPr="003A2E4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Analise do Projeto de Lei Complementar n. 25/2025</w:t>
      </w:r>
    </w:p>
    <w:p w14:paraId="23EF8330" w14:textId="50DBEDC7" w:rsidR="00B3022E" w:rsidRPr="003A2E40" w:rsidRDefault="00B3022E" w:rsidP="003A2E4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3A2E40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Autoria:</w:t>
      </w:r>
      <w:r w:rsidRPr="003A2E4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 w:rsidR="003A2E40" w:rsidRPr="003A2E40">
        <w:rPr>
          <w:rFonts w:ascii="Book Antiqua" w:eastAsia="Times New Roman" w:hAnsi="Book Antiqua" w:cs="Times New Roman"/>
          <w:sz w:val="24"/>
          <w:szCs w:val="24"/>
          <w:lang w:eastAsia="pt-BR"/>
        </w:rPr>
        <w:t>Mesa Diretora da Câmara de Vereadores de Sorriso/MT</w:t>
      </w:r>
    </w:p>
    <w:p w14:paraId="203DCA3B" w14:textId="3B79473D" w:rsidR="003A2E40" w:rsidRPr="003A2E40" w:rsidRDefault="003A2E40" w:rsidP="003A2E4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3A2E40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Datado de:</w:t>
      </w:r>
      <w:r w:rsidRPr="003A2E40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26-08-2025</w:t>
      </w:r>
    </w:p>
    <w:p w14:paraId="402C7F45" w14:textId="64C2A8FD" w:rsidR="003A2E40" w:rsidRPr="003A2E40" w:rsidRDefault="003A2E40" w:rsidP="003A2E40">
      <w:pPr>
        <w:pStyle w:val="Ttulo3"/>
        <w:spacing w:before="0" w:beforeAutospacing="0" w:after="0" w:afterAutospacing="0"/>
        <w:jc w:val="both"/>
        <w:rPr>
          <w:rFonts w:ascii="Book Antiqua" w:hAnsi="Book Antiqua"/>
          <w:b w:val="0"/>
          <w:bCs w:val="0"/>
          <w:sz w:val="24"/>
          <w:szCs w:val="24"/>
        </w:rPr>
      </w:pPr>
      <w:r w:rsidRPr="003A2E40">
        <w:rPr>
          <w:rStyle w:val="Forte"/>
          <w:rFonts w:ascii="Book Antiqua" w:hAnsi="Book Antiqua"/>
          <w:b/>
          <w:bCs/>
          <w:sz w:val="24"/>
          <w:szCs w:val="24"/>
        </w:rPr>
        <w:t>E</w:t>
      </w:r>
      <w:r>
        <w:rPr>
          <w:rStyle w:val="Forte"/>
          <w:rFonts w:ascii="Book Antiqua" w:hAnsi="Book Antiqua"/>
          <w:b/>
          <w:bCs/>
          <w:sz w:val="24"/>
          <w:szCs w:val="24"/>
        </w:rPr>
        <w:t>menta</w:t>
      </w:r>
      <w:r w:rsidRPr="003A2E40">
        <w:rPr>
          <w:rStyle w:val="Forte"/>
          <w:rFonts w:ascii="Book Antiqua" w:hAnsi="Book Antiqua"/>
          <w:b/>
          <w:bCs/>
          <w:sz w:val="24"/>
          <w:szCs w:val="24"/>
        </w:rPr>
        <w:t xml:space="preserve">: </w:t>
      </w:r>
      <w:r w:rsidRPr="003A2E40">
        <w:rPr>
          <w:rFonts w:ascii="Book Antiqua" w:hAnsi="Book Antiqua"/>
          <w:b w:val="0"/>
          <w:bCs w:val="0"/>
          <w:sz w:val="24"/>
          <w:szCs w:val="24"/>
        </w:rPr>
        <w:t>Dispõe sobre alterações e acréscimos na Lei Complementar nº 427/2023, que institui o Plano de Cargos, Carreiras e Salários (PCCS) dos servidores da Câmara Municipal de Sorriso/MT.</w:t>
      </w:r>
    </w:p>
    <w:p w14:paraId="151A0016" w14:textId="77777777" w:rsidR="003A2E40" w:rsidRPr="003A2E40" w:rsidRDefault="003A2E40" w:rsidP="003A2E40">
      <w:pPr>
        <w:pStyle w:val="Ttulo2"/>
        <w:spacing w:before="0" w:line="240" w:lineRule="auto"/>
        <w:jc w:val="both"/>
        <w:rPr>
          <w:rStyle w:val="Forte"/>
          <w:rFonts w:ascii="Book Antiqua" w:hAnsi="Book Antiqua"/>
          <w:b w:val="0"/>
          <w:bCs w:val="0"/>
          <w:color w:val="auto"/>
          <w:sz w:val="24"/>
          <w:szCs w:val="24"/>
        </w:rPr>
      </w:pPr>
    </w:p>
    <w:p w14:paraId="5FD0CF93" w14:textId="2EE7FE78" w:rsidR="003A2E40" w:rsidRPr="00535AC6" w:rsidRDefault="003A2E40" w:rsidP="003A2E40">
      <w:pPr>
        <w:pStyle w:val="Ttulo2"/>
        <w:spacing w:before="0" w:line="240" w:lineRule="auto"/>
        <w:ind w:firstLine="2268"/>
        <w:jc w:val="both"/>
        <w:rPr>
          <w:rFonts w:ascii="Book Antiqua" w:hAnsi="Book Antiqua"/>
          <w:color w:val="auto"/>
        </w:rPr>
      </w:pPr>
      <w:r w:rsidRPr="00535AC6">
        <w:rPr>
          <w:rStyle w:val="Forte"/>
          <w:rFonts w:ascii="Book Antiqua" w:hAnsi="Book Antiqua"/>
          <w:color w:val="auto"/>
          <w:bdr w:val="double" w:sz="4" w:space="0" w:color="auto"/>
        </w:rPr>
        <w:t>I – RELATÓRIO</w:t>
      </w:r>
    </w:p>
    <w:p w14:paraId="16010FF0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</w:p>
    <w:p w14:paraId="68B825C6" w14:textId="41CD22C2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sz w:val="26"/>
          <w:szCs w:val="26"/>
        </w:rPr>
        <w:t>O Projeto de Lei Complementar nº 25/2025, de iniciativa da Mesa Diretora da Câmara Municipal de Sorriso, altera dispositivos da Lei Complementar nº 427/2023 (Plano de Cargos, Carreiras e Salários – PCCS), com os seguintes pontos principais:</w:t>
      </w:r>
    </w:p>
    <w:p w14:paraId="7B8E01EE" w14:textId="1805E06F" w:rsidR="003A2E40" w:rsidRPr="00535AC6" w:rsidRDefault="003A2E40" w:rsidP="003A2E40">
      <w:pPr>
        <w:pStyle w:val="NormalWeb"/>
        <w:numPr>
          <w:ilvl w:val="0"/>
          <w:numId w:val="13"/>
        </w:numPr>
        <w:tabs>
          <w:tab w:val="clear" w:pos="720"/>
          <w:tab w:val="num" w:pos="2268"/>
        </w:tabs>
        <w:spacing w:before="0" w:beforeAutospacing="0" w:after="0" w:afterAutospacing="0"/>
        <w:ind w:left="2268" w:firstLine="0"/>
        <w:jc w:val="both"/>
        <w:rPr>
          <w:rFonts w:ascii="Book Antiqua" w:hAnsi="Book Antiqua"/>
          <w:i/>
          <w:iCs/>
          <w:sz w:val="26"/>
          <w:szCs w:val="26"/>
        </w:rPr>
      </w:pPr>
      <w:r w:rsidRPr="00535AC6">
        <w:rPr>
          <w:rFonts w:ascii="Book Antiqua" w:hAnsi="Book Antiqua"/>
          <w:i/>
          <w:iCs/>
          <w:sz w:val="26"/>
          <w:szCs w:val="26"/>
        </w:rPr>
        <w:t>Reconhecimento da natureza de bolsa-auxílio para os estagiários, com valores definidos em edital;</w:t>
      </w:r>
    </w:p>
    <w:p w14:paraId="347FBC9F" w14:textId="77777777" w:rsidR="003A2E40" w:rsidRPr="00535AC6" w:rsidRDefault="003A2E40" w:rsidP="003A2E40">
      <w:pPr>
        <w:pStyle w:val="NormalWeb"/>
        <w:spacing w:before="0" w:beforeAutospacing="0" w:after="0" w:afterAutospacing="0"/>
        <w:ind w:left="2268"/>
        <w:jc w:val="both"/>
        <w:rPr>
          <w:rFonts w:ascii="Book Antiqua" w:hAnsi="Book Antiqua"/>
          <w:i/>
          <w:iCs/>
          <w:sz w:val="26"/>
          <w:szCs w:val="26"/>
        </w:rPr>
      </w:pPr>
    </w:p>
    <w:p w14:paraId="11ED01F9" w14:textId="2373DF61" w:rsidR="003A2E40" w:rsidRPr="00535AC6" w:rsidRDefault="003A2E40" w:rsidP="003A2E40">
      <w:pPr>
        <w:pStyle w:val="NormalWeb"/>
        <w:numPr>
          <w:ilvl w:val="0"/>
          <w:numId w:val="13"/>
        </w:numPr>
        <w:tabs>
          <w:tab w:val="clear" w:pos="720"/>
          <w:tab w:val="num" w:pos="2268"/>
        </w:tabs>
        <w:spacing w:before="0" w:beforeAutospacing="0" w:after="0" w:afterAutospacing="0"/>
        <w:ind w:left="2268" w:firstLine="0"/>
        <w:jc w:val="both"/>
        <w:rPr>
          <w:rFonts w:ascii="Book Antiqua" w:hAnsi="Book Antiqua"/>
          <w:i/>
          <w:iCs/>
          <w:sz w:val="26"/>
          <w:szCs w:val="26"/>
        </w:rPr>
      </w:pPr>
      <w:r w:rsidRPr="00535AC6">
        <w:rPr>
          <w:rFonts w:ascii="Book Antiqua" w:hAnsi="Book Antiqua"/>
          <w:i/>
          <w:iCs/>
          <w:sz w:val="26"/>
          <w:szCs w:val="26"/>
        </w:rPr>
        <w:t>Inclusão de estagiários no rol de beneficiários de auxílio alimentação e saúde;</w:t>
      </w:r>
    </w:p>
    <w:p w14:paraId="42CB730E" w14:textId="77777777" w:rsidR="003A2E40" w:rsidRPr="00535AC6" w:rsidRDefault="003A2E40" w:rsidP="003A2E40">
      <w:pPr>
        <w:pStyle w:val="PargrafodaLista"/>
        <w:rPr>
          <w:rFonts w:ascii="Book Antiqua" w:hAnsi="Book Antiqua"/>
          <w:i/>
          <w:iCs/>
          <w:sz w:val="26"/>
          <w:szCs w:val="26"/>
        </w:rPr>
      </w:pPr>
    </w:p>
    <w:p w14:paraId="4C716055" w14:textId="1209C4A5" w:rsidR="003A2E40" w:rsidRPr="00535AC6" w:rsidRDefault="003A2E40" w:rsidP="003A2E40">
      <w:pPr>
        <w:pStyle w:val="NormalWeb"/>
        <w:numPr>
          <w:ilvl w:val="0"/>
          <w:numId w:val="13"/>
        </w:numPr>
        <w:tabs>
          <w:tab w:val="clear" w:pos="720"/>
          <w:tab w:val="num" w:pos="2268"/>
        </w:tabs>
        <w:spacing w:before="0" w:beforeAutospacing="0" w:after="0" w:afterAutospacing="0"/>
        <w:ind w:left="2268" w:firstLine="0"/>
        <w:jc w:val="both"/>
        <w:rPr>
          <w:rFonts w:ascii="Book Antiqua" w:hAnsi="Book Antiqua"/>
          <w:i/>
          <w:iCs/>
          <w:sz w:val="26"/>
          <w:szCs w:val="26"/>
        </w:rPr>
      </w:pPr>
      <w:r w:rsidRPr="00535AC6">
        <w:rPr>
          <w:rFonts w:ascii="Book Antiqua" w:hAnsi="Book Antiqua"/>
          <w:i/>
          <w:iCs/>
          <w:sz w:val="26"/>
          <w:szCs w:val="26"/>
        </w:rPr>
        <w:t>Alteração no quadro de cargos em extinção, com reajuste do vencimento inicial do cargo de Auxiliar de Serviços Gerais (R$ 3.800,00 para 5 vagas);</w:t>
      </w:r>
    </w:p>
    <w:p w14:paraId="1FE3A753" w14:textId="77777777" w:rsidR="003A2E40" w:rsidRPr="00535AC6" w:rsidRDefault="003A2E40" w:rsidP="003A2E40">
      <w:pPr>
        <w:pStyle w:val="PargrafodaLista"/>
        <w:rPr>
          <w:rFonts w:ascii="Book Antiqua" w:hAnsi="Book Antiqua"/>
          <w:i/>
          <w:iCs/>
          <w:sz w:val="26"/>
          <w:szCs w:val="26"/>
        </w:rPr>
      </w:pPr>
    </w:p>
    <w:p w14:paraId="34898388" w14:textId="7B96D239" w:rsidR="003A2E40" w:rsidRPr="00535AC6" w:rsidRDefault="003A2E40" w:rsidP="003A2E40">
      <w:pPr>
        <w:pStyle w:val="NormalWeb"/>
        <w:numPr>
          <w:ilvl w:val="0"/>
          <w:numId w:val="13"/>
        </w:numPr>
        <w:tabs>
          <w:tab w:val="clear" w:pos="720"/>
          <w:tab w:val="num" w:pos="2268"/>
        </w:tabs>
        <w:spacing w:before="0" w:beforeAutospacing="0" w:after="0" w:afterAutospacing="0"/>
        <w:ind w:left="2268" w:firstLine="0"/>
        <w:jc w:val="both"/>
        <w:rPr>
          <w:rFonts w:ascii="Book Antiqua" w:hAnsi="Book Antiqua"/>
          <w:i/>
          <w:iCs/>
          <w:sz w:val="26"/>
          <w:szCs w:val="26"/>
        </w:rPr>
      </w:pPr>
      <w:r w:rsidRPr="00535AC6">
        <w:rPr>
          <w:rFonts w:ascii="Book Antiqua" w:hAnsi="Book Antiqua"/>
          <w:i/>
          <w:iCs/>
          <w:sz w:val="26"/>
          <w:szCs w:val="26"/>
        </w:rPr>
        <w:t>Reestruturação do cargo de Assessor Técnico, com atualização de requisitos e atribuições;</w:t>
      </w:r>
    </w:p>
    <w:p w14:paraId="321C8130" w14:textId="1E34D7EE" w:rsidR="003A2E40" w:rsidRDefault="003A2E40" w:rsidP="003A2E40">
      <w:pPr>
        <w:pStyle w:val="PargrafodaLista"/>
        <w:rPr>
          <w:rFonts w:ascii="Book Antiqua" w:hAnsi="Book Antiqua"/>
          <w:i/>
          <w:iCs/>
          <w:sz w:val="26"/>
          <w:szCs w:val="26"/>
        </w:rPr>
      </w:pPr>
    </w:p>
    <w:p w14:paraId="6C4C9110" w14:textId="45F3F994" w:rsidR="006F4D48" w:rsidRDefault="006F4D48" w:rsidP="006F4D48">
      <w:pPr>
        <w:tabs>
          <w:tab w:val="left" w:pos="9000"/>
        </w:tabs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i/>
          <w:iCs/>
          <w:sz w:val="26"/>
          <w:szCs w:val="26"/>
        </w:rPr>
        <w:tab/>
      </w:r>
    </w:p>
    <w:p w14:paraId="72C9E21A" w14:textId="77777777" w:rsidR="006F4D48" w:rsidRPr="006F4D48" w:rsidRDefault="006F4D48" w:rsidP="006F4D48"/>
    <w:p w14:paraId="1A87CC67" w14:textId="77777777" w:rsidR="003A2E40" w:rsidRPr="00535AC6" w:rsidRDefault="003A2E40" w:rsidP="003A2E40">
      <w:pPr>
        <w:pStyle w:val="NormalWeb"/>
        <w:numPr>
          <w:ilvl w:val="0"/>
          <w:numId w:val="13"/>
        </w:numPr>
        <w:tabs>
          <w:tab w:val="clear" w:pos="720"/>
          <w:tab w:val="num" w:pos="2268"/>
        </w:tabs>
        <w:spacing w:before="0" w:beforeAutospacing="0" w:after="0" w:afterAutospacing="0"/>
        <w:ind w:left="2268" w:firstLine="0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i/>
          <w:iCs/>
          <w:sz w:val="26"/>
          <w:szCs w:val="26"/>
        </w:rPr>
        <w:t>Alterações nos anexos de cargos em comissão e de atribuições de funções.</w:t>
      </w:r>
    </w:p>
    <w:p w14:paraId="321F42C4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</w:p>
    <w:p w14:paraId="66B956A5" w14:textId="1AD9D724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sz w:val="26"/>
          <w:szCs w:val="26"/>
        </w:rPr>
        <w:t>A Mesa Diretora justifica a proposta como medida de modernização administrativa, valorização dos servidores e aprimoramento da gestão de pessoal.</w:t>
      </w:r>
    </w:p>
    <w:p w14:paraId="6F3DDFDD" w14:textId="2F33A256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sz w:val="26"/>
          <w:szCs w:val="26"/>
        </w:rPr>
        <w:t xml:space="preserve">Ademais, este parecer também tem como fundamento a </w:t>
      </w:r>
      <w:r w:rsidRPr="00535AC6">
        <w:rPr>
          <w:rStyle w:val="Forte"/>
          <w:rFonts w:ascii="Book Antiqua" w:hAnsi="Book Antiqua"/>
          <w:sz w:val="26"/>
          <w:szCs w:val="26"/>
          <w:highlight w:val="yellow"/>
        </w:rPr>
        <w:t>Mem. 498/2025 – Análise Contábil</w:t>
      </w:r>
      <w:r w:rsidRPr="00535AC6">
        <w:rPr>
          <w:rFonts w:ascii="Book Antiqua" w:hAnsi="Book Antiqua"/>
          <w:sz w:val="26"/>
          <w:szCs w:val="26"/>
          <w:highlight w:val="yellow"/>
        </w:rPr>
        <w:t>, emitida pelo Setor de Contabilidade da Câmara Municipal</w:t>
      </w:r>
      <w:r w:rsidRPr="00535AC6">
        <w:rPr>
          <w:rFonts w:ascii="Book Antiqua" w:hAnsi="Book Antiqua"/>
          <w:sz w:val="26"/>
          <w:szCs w:val="26"/>
        </w:rPr>
        <w:t>, que avaliou os impactos orçamentário-financeiros decorrentes do projeto.</w:t>
      </w:r>
    </w:p>
    <w:p w14:paraId="63D64F88" w14:textId="6AE78579" w:rsidR="003A2E40" w:rsidRPr="00535AC6" w:rsidRDefault="003A2E40" w:rsidP="003A2E40">
      <w:pPr>
        <w:pStyle w:val="Ttulo2"/>
        <w:spacing w:before="0" w:line="240" w:lineRule="auto"/>
        <w:ind w:firstLine="2268"/>
        <w:jc w:val="both"/>
        <w:rPr>
          <w:rStyle w:val="Forte"/>
          <w:rFonts w:ascii="Book Antiqua" w:hAnsi="Book Antiqua"/>
          <w:b w:val="0"/>
          <w:bCs w:val="0"/>
          <w:color w:val="auto"/>
        </w:rPr>
      </w:pPr>
    </w:p>
    <w:p w14:paraId="392CAE80" w14:textId="749DC688" w:rsidR="003A2E40" w:rsidRPr="00535AC6" w:rsidRDefault="003A2E40" w:rsidP="003A2E40">
      <w:pPr>
        <w:pStyle w:val="Ttulo2"/>
        <w:spacing w:before="0" w:line="240" w:lineRule="auto"/>
        <w:ind w:firstLine="2268"/>
        <w:jc w:val="both"/>
        <w:rPr>
          <w:rStyle w:val="Forte"/>
          <w:rFonts w:ascii="Book Antiqua" w:hAnsi="Book Antiqua"/>
          <w:color w:val="auto"/>
        </w:rPr>
      </w:pPr>
      <w:r w:rsidRPr="00535AC6">
        <w:rPr>
          <w:rStyle w:val="Forte"/>
          <w:rFonts w:ascii="Book Antiqua" w:hAnsi="Book Antiqua"/>
          <w:color w:val="auto"/>
          <w:bdr w:val="double" w:sz="4" w:space="0" w:color="auto"/>
        </w:rPr>
        <w:t>II – FUNDAMENTAÇÃO LEGAL</w:t>
      </w:r>
    </w:p>
    <w:p w14:paraId="29BEEDC9" w14:textId="77777777" w:rsidR="003A2E40" w:rsidRPr="00535AC6" w:rsidRDefault="003A2E40" w:rsidP="003A2E40">
      <w:pPr>
        <w:spacing w:after="0" w:line="240" w:lineRule="auto"/>
        <w:ind w:firstLine="2268"/>
        <w:jc w:val="both"/>
        <w:rPr>
          <w:rFonts w:ascii="Book Antiqua" w:hAnsi="Book Antiqua"/>
          <w:sz w:val="26"/>
          <w:szCs w:val="26"/>
        </w:rPr>
      </w:pPr>
    </w:p>
    <w:p w14:paraId="2039A54B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Style w:val="Forte"/>
          <w:rFonts w:ascii="Book Antiqua" w:hAnsi="Book Antiqua"/>
          <w:sz w:val="26"/>
          <w:szCs w:val="26"/>
        </w:rPr>
      </w:pPr>
    </w:p>
    <w:p w14:paraId="022F3A5F" w14:textId="4E8A06F4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Style w:val="Forte"/>
          <w:rFonts w:ascii="Book Antiqua" w:hAnsi="Book Antiqua"/>
          <w:sz w:val="26"/>
          <w:szCs w:val="26"/>
        </w:rPr>
        <w:t>Constituição Federal, art. 30, I:</w:t>
      </w:r>
      <w:r w:rsidRPr="00535AC6">
        <w:rPr>
          <w:rFonts w:ascii="Book Antiqua" w:hAnsi="Book Antiqua"/>
          <w:sz w:val="26"/>
          <w:szCs w:val="26"/>
        </w:rPr>
        <w:t xml:space="preserve"> competência municipal para legislar sobre assuntos de interesse local;</w:t>
      </w:r>
    </w:p>
    <w:p w14:paraId="670572EA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Style w:val="Forte"/>
          <w:rFonts w:ascii="Book Antiqua" w:hAnsi="Book Antiqua"/>
          <w:sz w:val="26"/>
          <w:szCs w:val="26"/>
        </w:rPr>
      </w:pPr>
    </w:p>
    <w:p w14:paraId="68DF0821" w14:textId="52F0D005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Style w:val="Forte"/>
          <w:rFonts w:ascii="Book Antiqua" w:hAnsi="Book Antiqua"/>
          <w:sz w:val="26"/>
          <w:szCs w:val="26"/>
        </w:rPr>
        <w:t>CF, art. 61, §1º, II, “a”:</w:t>
      </w:r>
      <w:r w:rsidRPr="00535AC6">
        <w:rPr>
          <w:rFonts w:ascii="Book Antiqua" w:hAnsi="Book Antiqua"/>
          <w:sz w:val="26"/>
          <w:szCs w:val="26"/>
        </w:rPr>
        <w:t xml:space="preserve"> reserva de iniciativa ao Executivo para leis sobre servidores da administração direta, aplicável por simetria à Mesa Diretora no caso de servidores do Legislativo;</w:t>
      </w:r>
    </w:p>
    <w:p w14:paraId="7B6924A2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</w:p>
    <w:p w14:paraId="4F47CDFB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Style w:val="Forte"/>
          <w:rFonts w:ascii="Book Antiqua" w:hAnsi="Book Antiqua"/>
          <w:sz w:val="26"/>
          <w:szCs w:val="26"/>
        </w:rPr>
        <w:t>CF, art. 169, §1º, I:</w:t>
      </w:r>
      <w:r w:rsidRPr="00535AC6">
        <w:rPr>
          <w:rFonts w:ascii="Book Antiqua" w:hAnsi="Book Antiqua"/>
          <w:sz w:val="26"/>
          <w:szCs w:val="26"/>
        </w:rPr>
        <w:t xml:space="preserve"> veda aumento de despesa com pessoal sem prévia dotação orçamentária e autorização na LDO;</w:t>
      </w:r>
    </w:p>
    <w:p w14:paraId="5F11932E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Style w:val="Forte"/>
          <w:rFonts w:ascii="Book Antiqua" w:hAnsi="Book Antiqua"/>
          <w:sz w:val="26"/>
          <w:szCs w:val="26"/>
        </w:rPr>
      </w:pPr>
    </w:p>
    <w:p w14:paraId="10B5E78F" w14:textId="0BAF4C5F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Style w:val="Forte"/>
          <w:rFonts w:ascii="Book Antiqua" w:hAnsi="Book Antiqua"/>
          <w:sz w:val="26"/>
          <w:szCs w:val="26"/>
        </w:rPr>
        <w:t xml:space="preserve">LRF, </w:t>
      </w:r>
      <w:proofErr w:type="spellStart"/>
      <w:r w:rsidRPr="00535AC6">
        <w:rPr>
          <w:rStyle w:val="Forte"/>
          <w:rFonts w:ascii="Book Antiqua" w:hAnsi="Book Antiqua"/>
          <w:sz w:val="26"/>
          <w:szCs w:val="26"/>
        </w:rPr>
        <w:t>arts</w:t>
      </w:r>
      <w:proofErr w:type="spellEnd"/>
      <w:r w:rsidRPr="00535AC6">
        <w:rPr>
          <w:rStyle w:val="Forte"/>
          <w:rFonts w:ascii="Book Antiqua" w:hAnsi="Book Antiqua"/>
          <w:sz w:val="26"/>
          <w:szCs w:val="26"/>
        </w:rPr>
        <w:t>. 16 e 17:</w:t>
      </w:r>
      <w:r w:rsidRPr="00535AC6">
        <w:rPr>
          <w:rFonts w:ascii="Book Antiqua" w:hAnsi="Book Antiqua"/>
          <w:sz w:val="26"/>
          <w:szCs w:val="26"/>
        </w:rPr>
        <w:t xml:space="preserve"> exigem estimativa de impacto financeiro, compensação e compatibilidade com o PPA, LDO e LOA;</w:t>
      </w:r>
    </w:p>
    <w:p w14:paraId="2C1FF506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Style w:val="Forte"/>
          <w:rFonts w:ascii="Book Antiqua" w:hAnsi="Book Antiqua"/>
          <w:sz w:val="26"/>
          <w:szCs w:val="26"/>
        </w:rPr>
      </w:pPr>
    </w:p>
    <w:p w14:paraId="2D811678" w14:textId="40482E2B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Style w:val="Forte"/>
          <w:rFonts w:ascii="Book Antiqua" w:hAnsi="Book Antiqua"/>
          <w:sz w:val="26"/>
          <w:szCs w:val="26"/>
        </w:rPr>
        <w:t>Lei Orgânica do Município de Sorriso e Regimento Interno:</w:t>
      </w:r>
      <w:r w:rsidRPr="00535AC6">
        <w:rPr>
          <w:rFonts w:ascii="Book Antiqua" w:hAnsi="Book Antiqua"/>
          <w:sz w:val="26"/>
          <w:szCs w:val="26"/>
        </w:rPr>
        <w:t xml:space="preserve"> atribuem à Mesa Diretora competência para propor leis sobre o regime jurídico de seus servidores.</w:t>
      </w:r>
    </w:p>
    <w:p w14:paraId="11B5D87F" w14:textId="77777777" w:rsidR="003A2E40" w:rsidRPr="00535AC6" w:rsidRDefault="003A2E40" w:rsidP="003A2E40">
      <w:pPr>
        <w:pStyle w:val="Ttulo2"/>
        <w:spacing w:before="0" w:line="240" w:lineRule="auto"/>
        <w:ind w:firstLine="2268"/>
        <w:jc w:val="both"/>
        <w:rPr>
          <w:rStyle w:val="Forte"/>
          <w:rFonts w:ascii="Book Antiqua" w:hAnsi="Book Antiqua"/>
          <w:b w:val="0"/>
          <w:bCs w:val="0"/>
          <w:color w:val="auto"/>
        </w:rPr>
      </w:pPr>
    </w:p>
    <w:p w14:paraId="758234CD" w14:textId="0A94D639" w:rsidR="003A2E40" w:rsidRPr="00535AC6" w:rsidRDefault="003A2E40" w:rsidP="003A2E40">
      <w:pPr>
        <w:pStyle w:val="Ttulo2"/>
        <w:spacing w:before="0" w:line="240" w:lineRule="auto"/>
        <w:ind w:firstLine="2268"/>
        <w:jc w:val="both"/>
        <w:rPr>
          <w:rFonts w:ascii="Book Antiqua" w:hAnsi="Book Antiqua"/>
          <w:color w:val="auto"/>
        </w:rPr>
      </w:pPr>
      <w:r w:rsidRPr="00535AC6">
        <w:rPr>
          <w:rStyle w:val="Forte"/>
          <w:rFonts w:ascii="Book Antiqua" w:hAnsi="Book Antiqua"/>
          <w:color w:val="auto"/>
          <w:bdr w:val="double" w:sz="4" w:space="0" w:color="auto"/>
        </w:rPr>
        <w:t>III – ANÁLISE JURÍDICA E CONTÁBIL</w:t>
      </w:r>
    </w:p>
    <w:p w14:paraId="7A27D12A" w14:textId="77777777" w:rsidR="003A2E40" w:rsidRPr="00535AC6" w:rsidRDefault="003A2E40" w:rsidP="003A2E40">
      <w:pPr>
        <w:pStyle w:val="Ttulo3"/>
        <w:spacing w:before="0" w:beforeAutospacing="0" w:after="0" w:afterAutospacing="0"/>
        <w:ind w:firstLine="2268"/>
        <w:jc w:val="both"/>
        <w:rPr>
          <w:rStyle w:val="Forte"/>
          <w:rFonts w:ascii="Book Antiqua" w:hAnsi="Book Antiqua"/>
          <w:b/>
          <w:bCs/>
          <w:sz w:val="26"/>
          <w:szCs w:val="26"/>
        </w:rPr>
      </w:pPr>
    </w:p>
    <w:p w14:paraId="1F309CE7" w14:textId="083F2980" w:rsidR="003A2E40" w:rsidRPr="00535AC6" w:rsidRDefault="003A2E40" w:rsidP="003A2E40">
      <w:pPr>
        <w:pStyle w:val="Ttulo3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Style w:val="Forte"/>
          <w:rFonts w:ascii="Book Antiqua" w:hAnsi="Book Antiqua"/>
          <w:b/>
          <w:bCs/>
          <w:sz w:val="26"/>
          <w:szCs w:val="26"/>
        </w:rPr>
        <w:t>1. Aspectos Jurídicos</w:t>
      </w:r>
    </w:p>
    <w:p w14:paraId="2244735D" w14:textId="77777777" w:rsidR="00535AC6" w:rsidRDefault="00535AC6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</w:p>
    <w:p w14:paraId="27000A49" w14:textId="6927430F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sz w:val="26"/>
          <w:szCs w:val="26"/>
        </w:rPr>
        <w:t>O projeto é formalmente legítimo, pois trata de matéria de competência da Mesa Diretora e refere-se exclusivamente à estrutura de pessoal da Câmara. Não há vício de iniciativa nem afronta aos princípios constitucionais.</w:t>
      </w:r>
    </w:p>
    <w:p w14:paraId="0A1B94C5" w14:textId="399403C0" w:rsidR="003A2E40" w:rsidRPr="00535AC6" w:rsidRDefault="003A2E40" w:rsidP="003A2E40">
      <w:pPr>
        <w:pStyle w:val="Ttulo3"/>
        <w:spacing w:before="0" w:beforeAutospacing="0" w:after="0" w:afterAutospacing="0"/>
        <w:ind w:firstLine="2268"/>
        <w:jc w:val="both"/>
        <w:rPr>
          <w:rStyle w:val="Forte"/>
          <w:rFonts w:ascii="Book Antiqua" w:hAnsi="Book Antiqua"/>
          <w:b/>
          <w:bCs/>
          <w:sz w:val="26"/>
          <w:szCs w:val="26"/>
        </w:rPr>
      </w:pPr>
    </w:p>
    <w:p w14:paraId="7E60A08E" w14:textId="77777777" w:rsidR="003A2E40" w:rsidRPr="00535AC6" w:rsidRDefault="003A2E40" w:rsidP="003A2E40">
      <w:pPr>
        <w:pStyle w:val="Ttulo3"/>
        <w:spacing w:before="0" w:beforeAutospacing="0" w:after="0" w:afterAutospacing="0"/>
        <w:ind w:firstLine="2268"/>
        <w:jc w:val="both"/>
        <w:rPr>
          <w:rStyle w:val="Forte"/>
          <w:rFonts w:ascii="Book Antiqua" w:hAnsi="Book Antiqua"/>
          <w:b/>
          <w:bCs/>
          <w:sz w:val="26"/>
          <w:szCs w:val="26"/>
        </w:rPr>
      </w:pPr>
    </w:p>
    <w:p w14:paraId="4797471E" w14:textId="4505C9CD" w:rsidR="003A2E40" w:rsidRPr="006F4D48" w:rsidRDefault="003A2E40" w:rsidP="003A2E40">
      <w:pPr>
        <w:pStyle w:val="Ttulo3"/>
        <w:spacing w:before="0" w:beforeAutospacing="0" w:after="0" w:afterAutospacing="0"/>
        <w:ind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Style w:val="Forte"/>
          <w:rFonts w:ascii="Book Antiqua" w:hAnsi="Book Antiqua"/>
          <w:b/>
          <w:bCs/>
          <w:sz w:val="28"/>
          <w:szCs w:val="28"/>
        </w:rPr>
        <w:t xml:space="preserve">2. Aspectos Contábeis </w:t>
      </w:r>
      <w:r w:rsidRPr="006F4D48">
        <w:rPr>
          <w:rStyle w:val="Forte"/>
          <w:rFonts w:ascii="Book Antiqua" w:hAnsi="Book Antiqua"/>
          <w:b/>
          <w:bCs/>
          <w:sz w:val="28"/>
          <w:szCs w:val="28"/>
          <w:highlight w:val="yellow"/>
        </w:rPr>
        <w:t>(Mem. 498/2025)</w:t>
      </w:r>
    </w:p>
    <w:p w14:paraId="738A5A67" w14:textId="77777777" w:rsidR="003A2E40" w:rsidRPr="006F4D48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8"/>
          <w:szCs w:val="28"/>
        </w:rPr>
      </w:pPr>
    </w:p>
    <w:p w14:paraId="1190375F" w14:textId="6107B301" w:rsidR="003A2E40" w:rsidRPr="006F4D48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Fonts w:ascii="Book Antiqua" w:hAnsi="Book Antiqua"/>
          <w:sz w:val="28"/>
          <w:szCs w:val="28"/>
        </w:rPr>
        <w:t>A análise do setor de Contabilidade destaca que:</w:t>
      </w:r>
    </w:p>
    <w:p w14:paraId="7F6B26AB" w14:textId="77777777" w:rsidR="003A2E40" w:rsidRPr="006F4D48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8"/>
          <w:szCs w:val="28"/>
        </w:rPr>
      </w:pPr>
    </w:p>
    <w:p w14:paraId="64A8F972" w14:textId="370A7341" w:rsidR="003A2E40" w:rsidRPr="006F4D48" w:rsidRDefault="003A2E40" w:rsidP="003A2E4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Fonts w:ascii="Book Antiqua" w:hAnsi="Book Antiqua"/>
          <w:sz w:val="28"/>
          <w:szCs w:val="28"/>
        </w:rPr>
        <w:t xml:space="preserve">O impacto decorre apenas do </w:t>
      </w:r>
      <w:r w:rsidRPr="006F4D48">
        <w:rPr>
          <w:rStyle w:val="Forte"/>
          <w:rFonts w:ascii="Book Antiqua" w:hAnsi="Book Antiqua"/>
          <w:sz w:val="28"/>
          <w:szCs w:val="28"/>
        </w:rPr>
        <w:t>reajuste do vencimento inicial do cargo de Auxiliar de Serviços Gerais</w:t>
      </w:r>
      <w:r w:rsidRPr="006F4D48">
        <w:rPr>
          <w:rFonts w:ascii="Book Antiqua" w:hAnsi="Book Antiqua"/>
          <w:sz w:val="28"/>
          <w:szCs w:val="28"/>
        </w:rPr>
        <w:t>, passando de R$ 2.405,05 para R$ 3.800,00;</w:t>
      </w:r>
    </w:p>
    <w:p w14:paraId="26F44E7F" w14:textId="77777777" w:rsidR="00535AC6" w:rsidRPr="006F4D48" w:rsidRDefault="00535AC6" w:rsidP="00535AC6">
      <w:pPr>
        <w:pStyle w:val="NormalWeb"/>
        <w:spacing w:before="0" w:beforeAutospacing="0" w:after="0" w:afterAutospacing="0"/>
        <w:ind w:left="2268"/>
        <w:jc w:val="both"/>
        <w:rPr>
          <w:rFonts w:ascii="Book Antiqua" w:hAnsi="Book Antiqua"/>
          <w:sz w:val="28"/>
          <w:szCs w:val="28"/>
        </w:rPr>
      </w:pPr>
    </w:p>
    <w:p w14:paraId="4176849F" w14:textId="2A1DA07F" w:rsidR="003A2E40" w:rsidRPr="006F4D48" w:rsidRDefault="003A2E40" w:rsidP="003A2E4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Fonts w:ascii="Book Antiqua" w:hAnsi="Book Antiqua"/>
          <w:sz w:val="28"/>
          <w:szCs w:val="28"/>
        </w:rPr>
        <w:t xml:space="preserve">Impacto anual estimado: </w:t>
      </w:r>
      <w:r w:rsidRPr="006F4D48">
        <w:rPr>
          <w:rStyle w:val="Forte"/>
          <w:rFonts w:ascii="Book Antiqua" w:hAnsi="Book Antiqua"/>
          <w:sz w:val="28"/>
          <w:szCs w:val="28"/>
        </w:rPr>
        <w:t>R$ 186.418,13</w:t>
      </w:r>
      <w:r w:rsidRPr="006F4D48">
        <w:rPr>
          <w:rFonts w:ascii="Book Antiqua" w:hAnsi="Book Antiqua"/>
          <w:sz w:val="28"/>
          <w:szCs w:val="28"/>
        </w:rPr>
        <w:t>, já considerando encargos sociais (PREVISO), 13º salário e férias;</w:t>
      </w:r>
    </w:p>
    <w:p w14:paraId="4DA3020D" w14:textId="77777777" w:rsidR="003A2E40" w:rsidRPr="006F4D48" w:rsidRDefault="003A2E40" w:rsidP="003A2E40">
      <w:pPr>
        <w:pStyle w:val="NormalWeb"/>
        <w:spacing w:before="0" w:beforeAutospacing="0" w:after="0" w:afterAutospacing="0"/>
        <w:ind w:left="2268"/>
        <w:jc w:val="both"/>
        <w:rPr>
          <w:rFonts w:ascii="Book Antiqua" w:hAnsi="Book Antiqua"/>
          <w:sz w:val="28"/>
          <w:szCs w:val="28"/>
        </w:rPr>
      </w:pPr>
    </w:p>
    <w:p w14:paraId="7ACAAB6A" w14:textId="0192855E" w:rsidR="003A2E40" w:rsidRPr="006F4D48" w:rsidRDefault="003A2E40" w:rsidP="003A2E4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Fonts w:ascii="Book Antiqua" w:hAnsi="Book Antiqua"/>
          <w:sz w:val="28"/>
          <w:szCs w:val="28"/>
        </w:rPr>
        <w:t xml:space="preserve">O impacto está </w:t>
      </w:r>
      <w:r w:rsidRPr="006F4D48">
        <w:rPr>
          <w:rStyle w:val="Forte"/>
          <w:rFonts w:ascii="Book Antiqua" w:hAnsi="Book Antiqua"/>
          <w:sz w:val="28"/>
          <w:szCs w:val="28"/>
        </w:rPr>
        <w:t>coberto pela dotação orçamentária vigente</w:t>
      </w:r>
      <w:r w:rsidRPr="006F4D48">
        <w:rPr>
          <w:rFonts w:ascii="Book Antiqua" w:hAnsi="Book Antiqua"/>
          <w:sz w:val="28"/>
          <w:szCs w:val="28"/>
        </w:rPr>
        <w:t>, não havendo necessidade de suplementação;</w:t>
      </w:r>
    </w:p>
    <w:p w14:paraId="1041E5B1" w14:textId="77777777" w:rsidR="003A2E40" w:rsidRPr="006F4D48" w:rsidRDefault="003A2E40" w:rsidP="003A2E40">
      <w:pPr>
        <w:pStyle w:val="PargrafodaLista"/>
        <w:rPr>
          <w:rFonts w:ascii="Book Antiqua" w:hAnsi="Book Antiqua"/>
          <w:sz w:val="28"/>
          <w:szCs w:val="28"/>
        </w:rPr>
      </w:pPr>
    </w:p>
    <w:p w14:paraId="4C1EF1AD" w14:textId="4B1564C8" w:rsidR="003A2E40" w:rsidRPr="006F4D48" w:rsidRDefault="003A2E40" w:rsidP="003A2E4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Fonts w:ascii="Book Antiqua" w:hAnsi="Book Antiqua"/>
          <w:sz w:val="28"/>
          <w:szCs w:val="28"/>
        </w:rPr>
        <w:t xml:space="preserve">Compatibilidade com a </w:t>
      </w:r>
      <w:r w:rsidRPr="006F4D48">
        <w:rPr>
          <w:rStyle w:val="Forte"/>
          <w:rFonts w:ascii="Book Antiqua" w:hAnsi="Book Antiqua"/>
          <w:sz w:val="28"/>
          <w:szCs w:val="28"/>
        </w:rPr>
        <w:t>LOA 2025 (Lei nº 3.628/2024)</w:t>
      </w:r>
      <w:r w:rsidRPr="006F4D48">
        <w:rPr>
          <w:rFonts w:ascii="Book Antiqua" w:hAnsi="Book Antiqua"/>
          <w:sz w:val="28"/>
          <w:szCs w:val="28"/>
        </w:rPr>
        <w:t xml:space="preserve">, </w:t>
      </w:r>
      <w:r w:rsidRPr="006F4D48">
        <w:rPr>
          <w:rStyle w:val="Forte"/>
          <w:rFonts w:ascii="Book Antiqua" w:hAnsi="Book Antiqua"/>
          <w:sz w:val="28"/>
          <w:szCs w:val="28"/>
        </w:rPr>
        <w:t>LDO 2025 (Lei nº 3.604/2024)</w:t>
      </w:r>
      <w:r w:rsidRPr="006F4D48">
        <w:rPr>
          <w:rFonts w:ascii="Book Antiqua" w:hAnsi="Book Antiqua"/>
          <w:sz w:val="28"/>
          <w:szCs w:val="28"/>
        </w:rPr>
        <w:t xml:space="preserve"> e </w:t>
      </w:r>
      <w:r w:rsidRPr="006F4D48">
        <w:rPr>
          <w:rStyle w:val="Forte"/>
          <w:rFonts w:ascii="Book Antiqua" w:hAnsi="Book Antiqua"/>
          <w:sz w:val="28"/>
          <w:szCs w:val="28"/>
        </w:rPr>
        <w:t>PPA 2022–2025 (Lei nº 3.157/2021)</w:t>
      </w:r>
      <w:r w:rsidRPr="006F4D48">
        <w:rPr>
          <w:rFonts w:ascii="Book Antiqua" w:hAnsi="Book Antiqua"/>
          <w:sz w:val="28"/>
          <w:szCs w:val="28"/>
        </w:rPr>
        <w:t>;</w:t>
      </w:r>
    </w:p>
    <w:p w14:paraId="30F236DE" w14:textId="77777777" w:rsidR="003A2E40" w:rsidRPr="006F4D48" w:rsidRDefault="003A2E40" w:rsidP="003A2E40">
      <w:pPr>
        <w:pStyle w:val="PargrafodaLista"/>
        <w:rPr>
          <w:rFonts w:ascii="Book Antiqua" w:hAnsi="Book Antiqua"/>
          <w:sz w:val="28"/>
          <w:szCs w:val="28"/>
        </w:rPr>
      </w:pPr>
    </w:p>
    <w:p w14:paraId="5A2A508A" w14:textId="572FB944" w:rsidR="003A2E40" w:rsidRPr="006F4D48" w:rsidRDefault="003A2E40" w:rsidP="003A2E4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Fonts w:ascii="Book Antiqua" w:hAnsi="Book Antiqua"/>
          <w:sz w:val="28"/>
          <w:szCs w:val="28"/>
        </w:rPr>
        <w:t>Não compromete as metas fiscais, pois utiliza exclusivamente recursos do duodécimo do Legislativo;</w:t>
      </w:r>
    </w:p>
    <w:p w14:paraId="14E70AB9" w14:textId="77777777" w:rsidR="003A2E40" w:rsidRPr="006F4D48" w:rsidRDefault="003A2E40" w:rsidP="003A2E40">
      <w:pPr>
        <w:pStyle w:val="PargrafodaLista"/>
        <w:rPr>
          <w:rFonts w:ascii="Book Antiqua" w:hAnsi="Book Antiqua"/>
          <w:sz w:val="28"/>
          <w:szCs w:val="28"/>
        </w:rPr>
      </w:pPr>
    </w:p>
    <w:p w14:paraId="24609E0B" w14:textId="7E931952" w:rsidR="003A2E40" w:rsidRPr="006F4D48" w:rsidRDefault="003A2E40" w:rsidP="003A2E4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Fonts w:ascii="Book Antiqua" w:hAnsi="Book Antiqua"/>
          <w:sz w:val="28"/>
          <w:szCs w:val="28"/>
        </w:rPr>
        <w:t xml:space="preserve">O gasto com pessoal, após a alteração, ficará em </w:t>
      </w:r>
      <w:r w:rsidRPr="006F4D48">
        <w:rPr>
          <w:rStyle w:val="Forte"/>
          <w:rFonts w:ascii="Book Antiqua" w:hAnsi="Book Antiqua"/>
          <w:sz w:val="28"/>
          <w:szCs w:val="28"/>
        </w:rPr>
        <w:t>53,99% do orçamento da Câmara (limite de 70% - CF/88)</w:t>
      </w:r>
      <w:r w:rsidRPr="006F4D48">
        <w:rPr>
          <w:rFonts w:ascii="Book Antiqua" w:hAnsi="Book Antiqua"/>
          <w:sz w:val="28"/>
          <w:szCs w:val="28"/>
        </w:rPr>
        <w:t xml:space="preserve"> e em </w:t>
      </w:r>
      <w:r w:rsidRPr="006F4D48">
        <w:rPr>
          <w:rStyle w:val="Forte"/>
          <w:rFonts w:ascii="Book Antiqua" w:hAnsi="Book Antiqua"/>
          <w:sz w:val="28"/>
          <w:szCs w:val="28"/>
        </w:rPr>
        <w:t>1,89% da Receita Corrente Líquida municipal (limite de 6% - LRF)</w:t>
      </w:r>
      <w:r w:rsidRPr="006F4D48">
        <w:rPr>
          <w:rFonts w:ascii="Book Antiqua" w:hAnsi="Book Antiqua"/>
          <w:sz w:val="28"/>
          <w:szCs w:val="28"/>
        </w:rPr>
        <w:t>, bem abaixo dos limites legais;</w:t>
      </w:r>
    </w:p>
    <w:p w14:paraId="53C203C0" w14:textId="77777777" w:rsidR="003A2E40" w:rsidRPr="006F4D48" w:rsidRDefault="003A2E40" w:rsidP="003A2E40">
      <w:pPr>
        <w:pStyle w:val="PargrafodaLista"/>
        <w:rPr>
          <w:rFonts w:ascii="Book Antiqua" w:hAnsi="Book Antiqua"/>
          <w:sz w:val="28"/>
          <w:szCs w:val="28"/>
        </w:rPr>
      </w:pPr>
    </w:p>
    <w:p w14:paraId="299BD2A8" w14:textId="5516B9E3" w:rsidR="003A2E40" w:rsidRPr="006F4D48" w:rsidRDefault="003A2E40" w:rsidP="003A2E4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Fonts w:ascii="Book Antiqua" w:hAnsi="Book Antiqua"/>
          <w:sz w:val="28"/>
          <w:szCs w:val="28"/>
        </w:rPr>
        <w:t>Não se aplica a vedação do art. 21 da LRF (últimos 180 dias de mandato), já que não estamos no período crítico;</w:t>
      </w:r>
    </w:p>
    <w:p w14:paraId="0B3A97A0" w14:textId="77777777" w:rsidR="003A2E40" w:rsidRPr="006F4D48" w:rsidRDefault="003A2E40" w:rsidP="003A2E40">
      <w:pPr>
        <w:pStyle w:val="PargrafodaLista"/>
        <w:rPr>
          <w:rFonts w:ascii="Book Antiqua" w:hAnsi="Book Antiqua"/>
          <w:sz w:val="28"/>
          <w:szCs w:val="28"/>
        </w:rPr>
      </w:pPr>
    </w:p>
    <w:p w14:paraId="59ED3585" w14:textId="77777777" w:rsidR="003A2E40" w:rsidRPr="006F4D48" w:rsidRDefault="003A2E40" w:rsidP="003A2E40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2268"/>
        <w:jc w:val="both"/>
        <w:rPr>
          <w:rFonts w:ascii="Book Antiqua" w:hAnsi="Book Antiqua"/>
          <w:sz w:val="28"/>
          <w:szCs w:val="28"/>
        </w:rPr>
      </w:pPr>
      <w:r w:rsidRPr="006F4D48">
        <w:rPr>
          <w:rFonts w:ascii="Book Antiqua" w:hAnsi="Book Antiqua"/>
          <w:sz w:val="28"/>
          <w:szCs w:val="28"/>
        </w:rPr>
        <w:t xml:space="preserve">A </w:t>
      </w:r>
      <w:r w:rsidRPr="006F4D48">
        <w:rPr>
          <w:rStyle w:val="Forte"/>
          <w:rFonts w:ascii="Book Antiqua" w:hAnsi="Book Antiqua"/>
          <w:b w:val="0"/>
          <w:bCs w:val="0"/>
          <w:sz w:val="28"/>
          <w:szCs w:val="28"/>
        </w:rPr>
        <w:t>LDO 2025 autoriza expressamente a criação e alteração de cargos, funções e vencimentos</w:t>
      </w:r>
      <w:r w:rsidRPr="006F4D48">
        <w:rPr>
          <w:rFonts w:ascii="Book Antiqua" w:hAnsi="Book Antiqua"/>
          <w:sz w:val="28"/>
          <w:szCs w:val="28"/>
        </w:rPr>
        <w:t>, respeitando a LRF.</w:t>
      </w:r>
    </w:p>
    <w:p w14:paraId="7C2B1BE2" w14:textId="730E8644" w:rsidR="003A2E40" w:rsidRDefault="003A2E40" w:rsidP="003A2E40">
      <w:pPr>
        <w:spacing w:after="0" w:line="240" w:lineRule="auto"/>
        <w:ind w:firstLine="2268"/>
        <w:jc w:val="both"/>
        <w:rPr>
          <w:rFonts w:ascii="Book Antiqua" w:hAnsi="Book Antiqua"/>
          <w:sz w:val="26"/>
          <w:szCs w:val="26"/>
        </w:rPr>
      </w:pPr>
    </w:p>
    <w:p w14:paraId="0F41C5F5" w14:textId="77777777" w:rsidR="006F4D48" w:rsidRPr="00535AC6" w:rsidRDefault="006F4D48" w:rsidP="003A2E40">
      <w:pPr>
        <w:spacing w:after="0" w:line="240" w:lineRule="auto"/>
        <w:ind w:firstLine="2268"/>
        <w:jc w:val="both"/>
        <w:rPr>
          <w:rFonts w:ascii="Book Antiqua" w:hAnsi="Book Antiqua"/>
          <w:sz w:val="26"/>
          <w:szCs w:val="26"/>
        </w:rPr>
      </w:pPr>
    </w:p>
    <w:p w14:paraId="13E33625" w14:textId="77777777" w:rsidR="003A2E40" w:rsidRPr="00535AC6" w:rsidRDefault="003A2E40" w:rsidP="003A2E40">
      <w:pPr>
        <w:spacing w:after="0" w:line="240" w:lineRule="auto"/>
        <w:ind w:firstLine="2268"/>
        <w:jc w:val="both"/>
        <w:rPr>
          <w:rFonts w:ascii="Book Antiqua" w:hAnsi="Book Antiqua"/>
          <w:sz w:val="26"/>
          <w:szCs w:val="26"/>
        </w:rPr>
      </w:pPr>
    </w:p>
    <w:p w14:paraId="1CD9B4E0" w14:textId="77777777" w:rsidR="003A2E40" w:rsidRPr="00535AC6" w:rsidRDefault="003A2E40" w:rsidP="003A2E40">
      <w:pPr>
        <w:pStyle w:val="Ttulo2"/>
        <w:spacing w:before="0" w:line="240" w:lineRule="auto"/>
        <w:ind w:firstLine="2268"/>
        <w:jc w:val="both"/>
        <w:rPr>
          <w:rFonts w:ascii="Book Antiqua" w:hAnsi="Book Antiqua"/>
          <w:color w:val="auto"/>
        </w:rPr>
      </w:pPr>
      <w:r w:rsidRPr="00535AC6">
        <w:rPr>
          <w:rStyle w:val="Forte"/>
          <w:rFonts w:ascii="Book Antiqua" w:hAnsi="Book Antiqua"/>
          <w:color w:val="auto"/>
          <w:bdr w:val="double" w:sz="4" w:space="0" w:color="auto"/>
        </w:rPr>
        <w:lastRenderedPageBreak/>
        <w:t>IV – MÉRITO</w:t>
      </w:r>
    </w:p>
    <w:p w14:paraId="50138955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</w:p>
    <w:p w14:paraId="66FCADF2" w14:textId="0EA0F63F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sz w:val="26"/>
          <w:szCs w:val="26"/>
        </w:rPr>
        <w:t xml:space="preserve">A proposta é meritória, pois promove a valorização dos servidores e a modernização da estrutura de cargos da Câmara. </w:t>
      </w:r>
      <w:r w:rsidRPr="00535AC6">
        <w:rPr>
          <w:rFonts w:ascii="Book Antiqua" w:hAnsi="Book Antiqua"/>
          <w:sz w:val="26"/>
          <w:szCs w:val="26"/>
          <w:u w:val="single"/>
        </w:rPr>
        <w:t xml:space="preserve">Do ponto de vista financeiro, o impacto é </w:t>
      </w:r>
      <w:r w:rsidRPr="00535AC6">
        <w:rPr>
          <w:rStyle w:val="Forte"/>
          <w:rFonts w:ascii="Book Antiqua" w:hAnsi="Book Antiqua"/>
          <w:sz w:val="26"/>
          <w:szCs w:val="26"/>
          <w:u w:val="single"/>
        </w:rPr>
        <w:t>modesto em relação ao orçamento total</w:t>
      </w:r>
      <w:r w:rsidRPr="00535AC6">
        <w:rPr>
          <w:rFonts w:ascii="Book Antiqua" w:hAnsi="Book Antiqua"/>
          <w:sz w:val="26"/>
          <w:szCs w:val="26"/>
          <w:u w:val="single"/>
        </w:rPr>
        <w:t xml:space="preserve"> e não compromete a saúde fiscal da instituição</w:t>
      </w:r>
      <w:r w:rsidRPr="00535AC6">
        <w:rPr>
          <w:rFonts w:ascii="Book Antiqua" w:hAnsi="Book Antiqua"/>
          <w:sz w:val="26"/>
          <w:szCs w:val="26"/>
        </w:rPr>
        <w:t>.</w:t>
      </w:r>
    </w:p>
    <w:p w14:paraId="348052EE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</w:p>
    <w:p w14:paraId="06A9FC14" w14:textId="4CB7713F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sz w:val="26"/>
          <w:szCs w:val="26"/>
          <w:u w:val="single"/>
        </w:rPr>
        <w:t>A atualização do vencimento de Auxiliar de Serviços Gerais corrige defasagem histórica e reforça o cumprimento dos princípios da dignidade do trabalho e da eficiência administrativa</w:t>
      </w:r>
      <w:r w:rsidRPr="00535AC6">
        <w:rPr>
          <w:rFonts w:ascii="Book Antiqua" w:hAnsi="Book Antiqua"/>
          <w:sz w:val="26"/>
          <w:szCs w:val="26"/>
        </w:rPr>
        <w:t>.</w:t>
      </w:r>
    </w:p>
    <w:p w14:paraId="538946E9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</w:p>
    <w:p w14:paraId="4238329A" w14:textId="39FA5485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sz w:val="26"/>
          <w:szCs w:val="26"/>
        </w:rPr>
        <w:t>A inclusão de estagiários nos auxílios representa política de valorização e incentivo à formação, sem impacto significativo adicional.</w:t>
      </w:r>
    </w:p>
    <w:p w14:paraId="476993CA" w14:textId="77777777" w:rsidR="003A2E40" w:rsidRPr="00535AC6" w:rsidRDefault="003A2E40" w:rsidP="003A2E40">
      <w:pPr>
        <w:rPr>
          <w:sz w:val="26"/>
          <w:szCs w:val="26"/>
        </w:rPr>
      </w:pPr>
    </w:p>
    <w:p w14:paraId="178313C5" w14:textId="296037CF" w:rsidR="003A2E40" w:rsidRPr="00535AC6" w:rsidRDefault="003A2E40" w:rsidP="003A2E40">
      <w:pPr>
        <w:pStyle w:val="Ttulo2"/>
        <w:spacing w:before="0" w:line="240" w:lineRule="auto"/>
        <w:ind w:firstLine="2268"/>
        <w:jc w:val="both"/>
        <w:rPr>
          <w:rFonts w:ascii="Book Antiqua" w:hAnsi="Book Antiqua"/>
          <w:color w:val="auto"/>
        </w:rPr>
      </w:pPr>
      <w:r w:rsidRPr="00535AC6">
        <w:rPr>
          <w:rStyle w:val="Forte"/>
          <w:rFonts w:ascii="Book Antiqua" w:hAnsi="Book Antiqua"/>
          <w:color w:val="auto"/>
          <w:bdr w:val="double" w:sz="4" w:space="0" w:color="auto"/>
        </w:rPr>
        <w:t xml:space="preserve">V – DERRADEIRAS DELIBERAÇÕES </w:t>
      </w:r>
    </w:p>
    <w:p w14:paraId="3C71EBEF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</w:p>
    <w:p w14:paraId="2B409E93" w14:textId="0C6070F4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sz w:val="26"/>
          <w:szCs w:val="26"/>
        </w:rPr>
        <w:t>Diante do exposto, entende-se que o Projeto de Lei Complementar nº 25/2025</w:t>
      </w:r>
      <w:r w:rsidR="00535AC6" w:rsidRPr="00535AC6">
        <w:rPr>
          <w:rFonts w:ascii="Book Antiqua" w:hAnsi="Book Antiqua"/>
          <w:sz w:val="26"/>
          <w:szCs w:val="26"/>
        </w:rPr>
        <w:t>,</w:t>
      </w:r>
      <w:r w:rsidRPr="00535AC6">
        <w:rPr>
          <w:rFonts w:ascii="Book Antiqua" w:hAnsi="Book Antiqua"/>
          <w:sz w:val="26"/>
          <w:szCs w:val="26"/>
        </w:rPr>
        <w:t xml:space="preserve"> </w:t>
      </w:r>
      <w:r w:rsidR="00535AC6" w:rsidRPr="00535AC6">
        <w:rPr>
          <w:rFonts w:ascii="Book Antiqua" w:hAnsi="Book Antiqua"/>
          <w:sz w:val="26"/>
          <w:szCs w:val="26"/>
        </w:rPr>
        <w:t>é</w:t>
      </w:r>
      <w:r w:rsidRPr="00535AC6">
        <w:rPr>
          <w:rStyle w:val="Forte"/>
          <w:rFonts w:ascii="Book Antiqua" w:hAnsi="Book Antiqua"/>
          <w:sz w:val="26"/>
          <w:szCs w:val="26"/>
        </w:rPr>
        <w:t xml:space="preserve"> constitucional, legal e legítimo</w:t>
      </w:r>
      <w:r w:rsidRPr="00535AC6">
        <w:rPr>
          <w:rFonts w:ascii="Book Antiqua" w:hAnsi="Book Antiqua"/>
          <w:sz w:val="26"/>
          <w:szCs w:val="26"/>
        </w:rPr>
        <w:t xml:space="preserve">; </w:t>
      </w:r>
      <w:r w:rsidRPr="00535AC6">
        <w:rPr>
          <w:rStyle w:val="Forte"/>
          <w:rFonts w:ascii="Book Antiqua" w:hAnsi="Book Antiqua"/>
          <w:sz w:val="26"/>
          <w:szCs w:val="26"/>
        </w:rPr>
        <w:t>Atende aos requisitos da Lei de Responsabilidade Fiscal</w:t>
      </w:r>
      <w:r w:rsidRPr="00535AC6">
        <w:rPr>
          <w:rFonts w:ascii="Book Antiqua" w:hAnsi="Book Antiqua"/>
          <w:sz w:val="26"/>
          <w:szCs w:val="26"/>
        </w:rPr>
        <w:t xml:space="preserve"> quanto ao impacto e compatibilidade orçamentária; </w:t>
      </w:r>
      <w:r w:rsidRPr="00535AC6">
        <w:rPr>
          <w:rStyle w:val="Forte"/>
          <w:rFonts w:ascii="Book Antiqua" w:hAnsi="Book Antiqua"/>
          <w:sz w:val="26"/>
          <w:szCs w:val="26"/>
        </w:rPr>
        <w:t>Está autorizado pela LDO vigente</w:t>
      </w:r>
      <w:r w:rsidRPr="00535AC6">
        <w:rPr>
          <w:rFonts w:ascii="Book Antiqua" w:hAnsi="Book Antiqua"/>
          <w:sz w:val="26"/>
          <w:szCs w:val="26"/>
        </w:rPr>
        <w:t xml:space="preserve">; </w:t>
      </w:r>
      <w:r w:rsidRPr="00535AC6">
        <w:rPr>
          <w:rStyle w:val="Forte"/>
          <w:rFonts w:ascii="Book Antiqua" w:hAnsi="Book Antiqua"/>
          <w:sz w:val="26"/>
          <w:szCs w:val="26"/>
        </w:rPr>
        <w:t>Mantém o Legislativo dentro dos limites de gastos com pessoal previstos na CF/88 e na LRF</w:t>
      </w:r>
      <w:r w:rsidRPr="00535AC6">
        <w:rPr>
          <w:rFonts w:ascii="Book Antiqua" w:hAnsi="Book Antiqua"/>
          <w:sz w:val="26"/>
          <w:szCs w:val="26"/>
        </w:rPr>
        <w:t>.</w:t>
      </w:r>
    </w:p>
    <w:p w14:paraId="269E8AA9" w14:textId="7777777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</w:p>
    <w:p w14:paraId="691041CF" w14:textId="1A14AF87" w:rsidR="003A2E40" w:rsidRPr="00535AC6" w:rsidRDefault="003A2E40" w:rsidP="003A2E40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  <w:sz w:val="26"/>
          <w:szCs w:val="26"/>
        </w:rPr>
      </w:pPr>
      <w:r w:rsidRPr="00535AC6">
        <w:rPr>
          <w:rFonts w:ascii="Book Antiqua" w:hAnsi="Book Antiqua"/>
          <w:sz w:val="26"/>
          <w:szCs w:val="26"/>
        </w:rPr>
        <w:t xml:space="preserve">Assim, </w:t>
      </w:r>
      <w:r w:rsidRPr="00535AC6">
        <w:rPr>
          <w:rStyle w:val="Forte"/>
          <w:rFonts w:ascii="Book Antiqua" w:hAnsi="Book Antiqua"/>
          <w:sz w:val="26"/>
          <w:szCs w:val="26"/>
        </w:rPr>
        <w:t>opina-se favoravelmente à sua tramitação</w:t>
      </w:r>
      <w:r w:rsidRPr="00535AC6">
        <w:rPr>
          <w:rFonts w:ascii="Book Antiqua" w:hAnsi="Book Antiqua"/>
          <w:sz w:val="26"/>
          <w:szCs w:val="26"/>
        </w:rPr>
        <w:t>, sem prejuízo da análise de mérito pelas Comissões permanentes da Casa de Leis e posterior deliberação em Plenário.</w:t>
      </w:r>
    </w:p>
    <w:p w14:paraId="2FFA8FAB" w14:textId="77777777" w:rsidR="00B3022E" w:rsidRPr="00535AC6" w:rsidRDefault="00B3022E" w:rsidP="003A2E40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3F6A47D8" w14:textId="77777777" w:rsidR="00B3022E" w:rsidRPr="003A2E40" w:rsidRDefault="00B3022E" w:rsidP="003A2E40">
      <w:pPr>
        <w:spacing w:after="0" w:line="240" w:lineRule="auto"/>
        <w:ind w:firstLine="2268"/>
        <w:jc w:val="both"/>
        <w:rPr>
          <w:rFonts w:ascii="Book Antiqua" w:hAnsi="Book Antiqua" w:cs="Arial"/>
          <w:sz w:val="24"/>
          <w:szCs w:val="24"/>
        </w:rPr>
      </w:pPr>
      <w:r w:rsidRPr="00535AC6">
        <w:rPr>
          <w:rFonts w:ascii="Book Antiqua" w:hAnsi="Book Antiqua" w:cs="Arial"/>
          <w:sz w:val="26"/>
          <w:szCs w:val="26"/>
        </w:rPr>
        <w:t>É o parecer, Salvo Melhor Juízo.</w:t>
      </w:r>
    </w:p>
    <w:p w14:paraId="6B530986" w14:textId="77777777" w:rsidR="00B3022E" w:rsidRPr="003A2E40" w:rsidRDefault="00B3022E" w:rsidP="003A2E40">
      <w:pPr>
        <w:spacing w:after="0" w:line="240" w:lineRule="auto"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6BA154A2" w14:textId="2D2BBAFF" w:rsidR="00B3022E" w:rsidRPr="003A2E40" w:rsidRDefault="00B3022E" w:rsidP="003A2E40">
      <w:pPr>
        <w:spacing w:after="0" w:line="240" w:lineRule="auto"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3A2E40">
        <w:rPr>
          <w:rFonts w:ascii="Book Antiqua" w:hAnsi="Book Antiqua"/>
          <w:sz w:val="24"/>
          <w:szCs w:val="24"/>
          <w:lang w:eastAsia="pt-BR"/>
        </w:rPr>
        <w:t xml:space="preserve">Sorriso/MT, </w:t>
      </w:r>
      <w:r w:rsidR="00ED7BAE" w:rsidRPr="003A2E40">
        <w:rPr>
          <w:rFonts w:ascii="Book Antiqua" w:hAnsi="Book Antiqua"/>
          <w:sz w:val="24"/>
          <w:szCs w:val="24"/>
          <w:lang w:eastAsia="pt-BR"/>
        </w:rPr>
        <w:t>02</w:t>
      </w:r>
      <w:r w:rsidRPr="003A2E40">
        <w:rPr>
          <w:rFonts w:ascii="Book Antiqua" w:hAnsi="Book Antiqua"/>
          <w:sz w:val="24"/>
          <w:szCs w:val="24"/>
          <w:lang w:eastAsia="pt-BR"/>
        </w:rPr>
        <w:t xml:space="preserve"> de </w:t>
      </w:r>
      <w:r w:rsidR="00ED7BAE" w:rsidRPr="003A2E40">
        <w:rPr>
          <w:rFonts w:ascii="Book Antiqua" w:hAnsi="Book Antiqua"/>
          <w:sz w:val="24"/>
          <w:szCs w:val="24"/>
          <w:lang w:eastAsia="pt-BR"/>
        </w:rPr>
        <w:t>setembro</w:t>
      </w:r>
      <w:r w:rsidRPr="003A2E40">
        <w:rPr>
          <w:rFonts w:ascii="Book Antiqua" w:hAnsi="Book Antiqua"/>
          <w:sz w:val="24"/>
          <w:szCs w:val="24"/>
          <w:lang w:eastAsia="pt-BR"/>
        </w:rPr>
        <w:t xml:space="preserve"> de 2025.</w:t>
      </w:r>
    </w:p>
    <w:p w14:paraId="2738CDE7" w14:textId="77777777" w:rsidR="00B3022E" w:rsidRDefault="00B3022E" w:rsidP="00B3022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3FE4EB" w14:textId="77777777" w:rsidR="00B3022E" w:rsidRDefault="00B3022E" w:rsidP="00B3022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3DE895" w14:textId="77777777" w:rsidR="00B3022E" w:rsidRPr="00194B26" w:rsidRDefault="00B3022E" w:rsidP="00B3022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9107478" w14:textId="77777777" w:rsidR="00B3022E" w:rsidRPr="00194B26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94B26">
        <w:rPr>
          <w:rFonts w:ascii="Bookman Old Style" w:eastAsia="Times New Roman" w:hAnsi="Bookman Old Style" w:cs="Times New Roman"/>
          <w:sz w:val="24"/>
          <w:szCs w:val="24"/>
          <w:lang w:eastAsia="pt-BR"/>
        </w:rPr>
        <w:t>___________________________________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>_________________________________________</w:t>
      </w:r>
    </w:p>
    <w:p w14:paraId="3750FF5A" w14:textId="77777777" w:rsidR="00B3022E" w:rsidRPr="00194B26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Fernando </w:t>
      </w:r>
      <w:r w:rsidRPr="00DE7EC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MASCARELLO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194B26">
        <w:rPr>
          <w:rFonts w:ascii="Bookman Old Style" w:hAnsi="Bookman Old Style"/>
          <w:b/>
          <w:bCs/>
          <w:sz w:val="24"/>
          <w:szCs w:val="24"/>
          <w:lang w:eastAsia="pt-BR"/>
        </w:rPr>
        <w:t>SAULO</w:t>
      </w:r>
      <w:r w:rsidRPr="00194B26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DE7EC2">
        <w:rPr>
          <w:rFonts w:ascii="Bookman Old Style" w:hAnsi="Bookman Old Style"/>
          <w:sz w:val="16"/>
          <w:szCs w:val="16"/>
          <w:lang w:eastAsia="pt-BR"/>
        </w:rPr>
        <w:t>Augusto C. da R.</w:t>
      </w:r>
      <w:r w:rsidRPr="00194B26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194B26">
        <w:rPr>
          <w:rFonts w:ascii="Bookman Old Style" w:hAnsi="Bookman Old Style"/>
          <w:b/>
          <w:bCs/>
          <w:sz w:val="24"/>
          <w:szCs w:val="24"/>
          <w:lang w:eastAsia="pt-BR"/>
        </w:rPr>
        <w:t>BANDEIRA</w:t>
      </w:r>
      <w:r w:rsidRPr="00194B26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DE7EC2">
        <w:rPr>
          <w:rFonts w:ascii="Bookman Old Style" w:hAnsi="Bookman Old Style"/>
          <w:sz w:val="16"/>
          <w:szCs w:val="16"/>
          <w:lang w:eastAsia="pt-BR"/>
        </w:rPr>
        <w:t>Bastos</w:t>
      </w:r>
    </w:p>
    <w:p w14:paraId="3960FEC8" w14:textId="77777777" w:rsidR="00B3022E" w:rsidRPr="00DE7EC2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pt-BR"/>
        </w:rPr>
      </w:pPr>
      <w:r w:rsidRPr="00DE7EC2">
        <w:rPr>
          <w:rFonts w:ascii="Bookman Old Style" w:hAnsi="Bookman Old Style"/>
          <w:sz w:val="16"/>
          <w:szCs w:val="16"/>
          <w:lang w:eastAsia="pt-BR"/>
        </w:rPr>
        <w:t>Câmara Municipal de Sorriso – MT</w:t>
      </w:r>
      <w:r>
        <w:rPr>
          <w:rFonts w:ascii="Bookman Old Style" w:hAnsi="Bookman Old Style"/>
          <w:sz w:val="16"/>
          <w:szCs w:val="16"/>
          <w:lang w:eastAsia="pt-BR"/>
        </w:rPr>
        <w:tab/>
      </w:r>
      <w:r>
        <w:rPr>
          <w:rFonts w:ascii="Bookman Old Style" w:hAnsi="Bookman Old Style"/>
          <w:sz w:val="16"/>
          <w:szCs w:val="16"/>
          <w:lang w:eastAsia="pt-BR"/>
        </w:rPr>
        <w:tab/>
      </w:r>
      <w:r>
        <w:rPr>
          <w:rFonts w:ascii="Bookman Old Style" w:hAnsi="Bookman Old Style"/>
          <w:sz w:val="16"/>
          <w:szCs w:val="16"/>
          <w:lang w:eastAsia="pt-BR"/>
        </w:rPr>
        <w:tab/>
      </w:r>
      <w:r>
        <w:rPr>
          <w:rFonts w:ascii="Bookman Old Style" w:hAnsi="Bookman Old Style"/>
          <w:sz w:val="16"/>
          <w:szCs w:val="16"/>
          <w:lang w:eastAsia="pt-BR"/>
        </w:rPr>
        <w:tab/>
      </w:r>
      <w:r w:rsidRPr="00DE7EC2">
        <w:rPr>
          <w:rFonts w:ascii="Bookman Old Style" w:hAnsi="Bookman Old Style"/>
          <w:sz w:val="16"/>
          <w:szCs w:val="16"/>
          <w:lang w:eastAsia="pt-BR"/>
        </w:rPr>
        <w:t>Câmara Municipal de Sorriso – MT</w:t>
      </w:r>
      <w:r>
        <w:rPr>
          <w:rFonts w:ascii="Bookman Old Style" w:hAnsi="Bookman Old Style"/>
          <w:sz w:val="16"/>
          <w:szCs w:val="16"/>
          <w:lang w:eastAsia="pt-BR"/>
        </w:rPr>
        <w:tab/>
      </w:r>
    </w:p>
    <w:p w14:paraId="591B0563" w14:textId="77777777" w:rsidR="00B3022E" w:rsidRPr="00DE7EC2" w:rsidRDefault="00B3022E" w:rsidP="00B3022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eastAsia="pt-BR"/>
        </w:rPr>
      </w:pPr>
      <w:r w:rsidRPr="00DE7EC2">
        <w:rPr>
          <w:rFonts w:ascii="Bookman Old Style" w:eastAsia="Times New Roman" w:hAnsi="Bookman Old Style" w:cs="Times New Roman"/>
          <w:sz w:val="16"/>
          <w:szCs w:val="16"/>
          <w:lang w:eastAsia="pt-BR"/>
        </w:rPr>
        <w:t>Assessor Especial</w:t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DE7EC2">
        <w:rPr>
          <w:rFonts w:ascii="Bookman Old Style" w:hAnsi="Bookman Old Style"/>
          <w:sz w:val="16"/>
          <w:szCs w:val="16"/>
          <w:lang w:eastAsia="pt-BR"/>
        </w:rPr>
        <w:t>Assessor Jurídico da Procuradoria</w:t>
      </w:r>
    </w:p>
    <w:p w14:paraId="7CAA92C9" w14:textId="486A7BE1" w:rsidR="00B3022E" w:rsidRPr="00300B13" w:rsidRDefault="00ED7BAE" w:rsidP="00B3022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eastAsia="pt-BR"/>
        </w:rPr>
      </w:pPr>
      <w:r w:rsidRPr="00DE7EC2">
        <w:rPr>
          <w:rFonts w:ascii="Bookman Old Style" w:eastAsia="Times New Roman" w:hAnsi="Bookman Old Style" w:cs="Times New Roman"/>
          <w:sz w:val="16"/>
          <w:szCs w:val="16"/>
          <w:lang w:eastAsia="pt-BR"/>
        </w:rPr>
        <w:t>Portaria n. 109/2025</w:t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 w:rsidRPr="00DE7EC2">
        <w:rPr>
          <w:rFonts w:ascii="Bookman Old Style" w:hAnsi="Bookman Old Style"/>
          <w:sz w:val="16"/>
          <w:szCs w:val="16"/>
          <w:lang w:eastAsia="pt-BR"/>
        </w:rPr>
        <w:t>OAB/MT nº. 10.525</w:t>
      </w:r>
    </w:p>
    <w:p w14:paraId="36CE1178" w14:textId="6FEF21D0" w:rsidR="00B3022E" w:rsidRPr="00194B26" w:rsidRDefault="00ED7BA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="00B3022E"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  <w:t>Portaria nº 038/2025</w:t>
      </w:r>
    </w:p>
    <w:p w14:paraId="565B8CA7" w14:textId="3EEE5A26" w:rsidR="00D51827" w:rsidRPr="00B3022E" w:rsidRDefault="00D51827" w:rsidP="00B3022E"/>
    <w:sectPr w:rsidR="00D51827" w:rsidRPr="00B3022E" w:rsidSect="00C81622">
      <w:footerReference w:type="default" r:id="rId8"/>
      <w:pgSz w:w="11906" w:h="16838"/>
      <w:pgMar w:top="2552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6E3E" w14:textId="77777777" w:rsidR="00F653B4" w:rsidRDefault="00F653B4" w:rsidP="00B6208A">
      <w:pPr>
        <w:spacing w:after="0" w:line="240" w:lineRule="auto"/>
      </w:pPr>
      <w:r>
        <w:separator/>
      </w:r>
    </w:p>
  </w:endnote>
  <w:endnote w:type="continuationSeparator" w:id="0">
    <w:p w14:paraId="123EF765" w14:textId="77777777" w:rsidR="00F653B4" w:rsidRDefault="00F653B4" w:rsidP="00B6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558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0DA5F8" w14:textId="43CF18B4" w:rsidR="00300B13" w:rsidRDefault="00300B13">
            <w:pPr>
              <w:pStyle w:val="Rodap"/>
              <w:jc w:val="right"/>
            </w:pPr>
            <w:r>
              <w:t xml:space="preserve">Parecer nº </w:t>
            </w:r>
            <w:r w:rsidR="006F4D48">
              <w:t>171-2025</w:t>
            </w:r>
          </w:p>
          <w:p w14:paraId="6D102944" w14:textId="44377198" w:rsidR="00B6208A" w:rsidRDefault="00B6208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3A331" w14:textId="77777777" w:rsidR="00B6208A" w:rsidRDefault="00B620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9F5A" w14:textId="77777777" w:rsidR="00F653B4" w:rsidRDefault="00F653B4" w:rsidP="00B6208A">
      <w:pPr>
        <w:spacing w:after="0" w:line="240" w:lineRule="auto"/>
      </w:pPr>
      <w:r>
        <w:separator/>
      </w:r>
    </w:p>
  </w:footnote>
  <w:footnote w:type="continuationSeparator" w:id="0">
    <w:p w14:paraId="336ABD3E" w14:textId="77777777" w:rsidR="00F653B4" w:rsidRDefault="00F653B4" w:rsidP="00B6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0E0"/>
    <w:multiLevelType w:val="multilevel"/>
    <w:tmpl w:val="751E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927F3"/>
    <w:multiLevelType w:val="multilevel"/>
    <w:tmpl w:val="86B8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814A0"/>
    <w:multiLevelType w:val="multilevel"/>
    <w:tmpl w:val="F962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63A02"/>
    <w:multiLevelType w:val="multilevel"/>
    <w:tmpl w:val="3FC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10A7A"/>
    <w:multiLevelType w:val="multilevel"/>
    <w:tmpl w:val="70D059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E76C8"/>
    <w:multiLevelType w:val="multilevel"/>
    <w:tmpl w:val="2CE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02FA7"/>
    <w:multiLevelType w:val="hybridMultilevel"/>
    <w:tmpl w:val="2D5C6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00707"/>
    <w:multiLevelType w:val="hybridMultilevel"/>
    <w:tmpl w:val="64E62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835AA"/>
    <w:multiLevelType w:val="multilevel"/>
    <w:tmpl w:val="EC2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70D62"/>
    <w:multiLevelType w:val="hybridMultilevel"/>
    <w:tmpl w:val="E4F07E6C"/>
    <w:lvl w:ilvl="0" w:tplc="FA2277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4C150C44"/>
    <w:multiLevelType w:val="multilevel"/>
    <w:tmpl w:val="9A3E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96C92"/>
    <w:multiLevelType w:val="multilevel"/>
    <w:tmpl w:val="E5B04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03943"/>
    <w:multiLevelType w:val="multilevel"/>
    <w:tmpl w:val="FB9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96A5D"/>
    <w:multiLevelType w:val="multilevel"/>
    <w:tmpl w:val="8502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11628"/>
    <w:multiLevelType w:val="multilevel"/>
    <w:tmpl w:val="45F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D4F32"/>
    <w:multiLevelType w:val="multilevel"/>
    <w:tmpl w:val="FE1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2"/>
  </w:num>
  <w:num w:numId="5">
    <w:abstractNumId w:val="7"/>
  </w:num>
  <w:num w:numId="6">
    <w:abstractNumId w:val="6"/>
  </w:num>
  <w:num w:numId="7">
    <w:abstractNumId w:val="11"/>
  </w:num>
  <w:num w:numId="8">
    <w:abstractNumId w:val="14"/>
  </w:num>
  <w:num w:numId="9">
    <w:abstractNumId w:val="8"/>
  </w:num>
  <w:num w:numId="10">
    <w:abstractNumId w:val="9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11"/>
    <w:rsid w:val="00036FDC"/>
    <w:rsid w:val="000A0764"/>
    <w:rsid w:val="000D1E53"/>
    <w:rsid w:val="000D1F66"/>
    <w:rsid w:val="000D586F"/>
    <w:rsid w:val="00125EC5"/>
    <w:rsid w:val="00147A5E"/>
    <w:rsid w:val="00154752"/>
    <w:rsid w:val="001618D9"/>
    <w:rsid w:val="00243BD4"/>
    <w:rsid w:val="00284982"/>
    <w:rsid w:val="00284D0D"/>
    <w:rsid w:val="002A21B8"/>
    <w:rsid w:val="002B389C"/>
    <w:rsid w:val="002D5304"/>
    <w:rsid w:val="00300B13"/>
    <w:rsid w:val="00332C6E"/>
    <w:rsid w:val="00340980"/>
    <w:rsid w:val="003A2E40"/>
    <w:rsid w:val="004232D5"/>
    <w:rsid w:val="00450FCD"/>
    <w:rsid w:val="00451496"/>
    <w:rsid w:val="00460871"/>
    <w:rsid w:val="0049518A"/>
    <w:rsid w:val="004C78C9"/>
    <w:rsid w:val="004D41A7"/>
    <w:rsid w:val="004D6093"/>
    <w:rsid w:val="00502801"/>
    <w:rsid w:val="00507326"/>
    <w:rsid w:val="00523E41"/>
    <w:rsid w:val="00535AC6"/>
    <w:rsid w:val="005502EB"/>
    <w:rsid w:val="005B5EDD"/>
    <w:rsid w:val="005C5997"/>
    <w:rsid w:val="005C6E85"/>
    <w:rsid w:val="005D67FC"/>
    <w:rsid w:val="0064096A"/>
    <w:rsid w:val="0064343B"/>
    <w:rsid w:val="006702AB"/>
    <w:rsid w:val="00671D55"/>
    <w:rsid w:val="0067565F"/>
    <w:rsid w:val="006A0E44"/>
    <w:rsid w:val="006B5549"/>
    <w:rsid w:val="006E0732"/>
    <w:rsid w:val="006F4D48"/>
    <w:rsid w:val="00781C9C"/>
    <w:rsid w:val="007A20B6"/>
    <w:rsid w:val="007B6528"/>
    <w:rsid w:val="007C050B"/>
    <w:rsid w:val="007C3EED"/>
    <w:rsid w:val="00813355"/>
    <w:rsid w:val="00816D08"/>
    <w:rsid w:val="00893C58"/>
    <w:rsid w:val="00895F41"/>
    <w:rsid w:val="008A0030"/>
    <w:rsid w:val="008E2B87"/>
    <w:rsid w:val="0090102F"/>
    <w:rsid w:val="00901943"/>
    <w:rsid w:val="00912FD1"/>
    <w:rsid w:val="00913787"/>
    <w:rsid w:val="00923C86"/>
    <w:rsid w:val="009B0D46"/>
    <w:rsid w:val="00A07C5F"/>
    <w:rsid w:val="00A41EAD"/>
    <w:rsid w:val="00A41F99"/>
    <w:rsid w:val="00A673E0"/>
    <w:rsid w:val="00A83C65"/>
    <w:rsid w:val="00A87B7C"/>
    <w:rsid w:val="00AC68C9"/>
    <w:rsid w:val="00AF10D7"/>
    <w:rsid w:val="00B00861"/>
    <w:rsid w:val="00B3022E"/>
    <w:rsid w:val="00B4577D"/>
    <w:rsid w:val="00B530F9"/>
    <w:rsid w:val="00B6206E"/>
    <w:rsid w:val="00B6208A"/>
    <w:rsid w:val="00C120CF"/>
    <w:rsid w:val="00C16983"/>
    <w:rsid w:val="00C81622"/>
    <w:rsid w:val="00CB0954"/>
    <w:rsid w:val="00D04270"/>
    <w:rsid w:val="00D07917"/>
    <w:rsid w:val="00D34B1E"/>
    <w:rsid w:val="00D51827"/>
    <w:rsid w:val="00DA0DC7"/>
    <w:rsid w:val="00E17992"/>
    <w:rsid w:val="00E40C5A"/>
    <w:rsid w:val="00E41A09"/>
    <w:rsid w:val="00E50CF2"/>
    <w:rsid w:val="00E5658E"/>
    <w:rsid w:val="00E56875"/>
    <w:rsid w:val="00EA04F3"/>
    <w:rsid w:val="00EB6844"/>
    <w:rsid w:val="00ED329D"/>
    <w:rsid w:val="00ED7BAE"/>
    <w:rsid w:val="00EE6FB2"/>
    <w:rsid w:val="00F05196"/>
    <w:rsid w:val="00F20780"/>
    <w:rsid w:val="00F268EE"/>
    <w:rsid w:val="00F62AF4"/>
    <w:rsid w:val="00F653B4"/>
    <w:rsid w:val="00F65CBF"/>
    <w:rsid w:val="00F72FF4"/>
    <w:rsid w:val="00F74BE7"/>
    <w:rsid w:val="00F80A6E"/>
    <w:rsid w:val="00F81132"/>
    <w:rsid w:val="00FC0011"/>
    <w:rsid w:val="00FD0D34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65B"/>
  <w15:chartTrackingRefBased/>
  <w15:docId w15:val="{4D953A55-4FF2-4306-A6D4-7B2282D3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2E"/>
  </w:style>
  <w:style w:type="paragraph" w:styleId="Ttulo1">
    <w:name w:val="heading 1"/>
    <w:basedOn w:val="Normal"/>
    <w:next w:val="Normal"/>
    <w:link w:val="Ttulo1Char"/>
    <w:uiPriority w:val="9"/>
    <w:qFormat/>
    <w:rsid w:val="003A2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2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C0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C00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C001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C001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00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3E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6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08A"/>
  </w:style>
  <w:style w:type="paragraph" w:styleId="Rodap">
    <w:name w:val="footer"/>
    <w:basedOn w:val="Normal"/>
    <w:link w:val="RodapChar"/>
    <w:uiPriority w:val="99"/>
    <w:unhideWhenUsed/>
    <w:rsid w:val="00B6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08A"/>
  </w:style>
  <w:style w:type="paragraph" w:styleId="SemEspaamento">
    <w:name w:val="No Spacing"/>
    <w:uiPriority w:val="1"/>
    <w:qFormat/>
    <w:rsid w:val="00F20780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3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3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329D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F268E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90102F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A2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2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433A-ED0D-445C-B14E-4DD0EA58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Bandeira Bastos</dc:creator>
  <cp:keywords/>
  <dc:description/>
  <cp:lastModifiedBy>Bandeira Bastos</cp:lastModifiedBy>
  <cp:revision>3</cp:revision>
  <cp:lastPrinted>2025-02-24T14:48:00Z</cp:lastPrinted>
  <dcterms:created xsi:type="dcterms:W3CDTF">2025-09-02T15:04:00Z</dcterms:created>
  <dcterms:modified xsi:type="dcterms:W3CDTF">2025-09-03T14:54:00Z</dcterms:modified>
</cp:coreProperties>
</file>