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58666BC2" w:rsidR="003606E3" w:rsidRPr="002C4107" w:rsidRDefault="009E0FDA" w:rsidP="00A00BC8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F41437">
        <w:rPr>
          <w:rFonts w:ascii="Times New Roman" w:hAnsi="Times New Roman" w:cs="Times New Roman"/>
        </w:rPr>
        <w:t>93</w:t>
      </w:r>
    </w:p>
    <w:p w14:paraId="732A92D6" w14:textId="77777777" w:rsidR="003606E3" w:rsidRPr="002C4107" w:rsidRDefault="003606E3" w:rsidP="00A00BC8">
      <w:pPr>
        <w:ind w:left="3402"/>
        <w:jc w:val="both"/>
        <w:rPr>
          <w:sz w:val="24"/>
          <w:szCs w:val="24"/>
        </w:rPr>
      </w:pPr>
    </w:p>
    <w:p w14:paraId="43500F6E" w14:textId="3FA28598" w:rsidR="003606E3" w:rsidRPr="002C4107" w:rsidRDefault="009E0FDA" w:rsidP="00A00BC8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A00BC8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F22D36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A00BC8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9E0FDA" w:rsidP="00A00BC8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A00BC8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37BDFC61" w:rsidR="003606E3" w:rsidRPr="002C4107" w:rsidRDefault="009E0FDA" w:rsidP="00A00BC8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47FB7D7C" w:rsidR="003606E3" w:rsidRDefault="009E0FD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5B2801">
        <w:rPr>
          <w:b w:val="0"/>
          <w:bCs w:val="0"/>
          <w:lang w:val="pt-BR"/>
        </w:rPr>
        <w:t>1</w:t>
      </w:r>
      <w:r w:rsidR="003A191F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5B2801">
        <w:rPr>
          <w:b w:val="0"/>
          <w:bCs w:val="0"/>
          <w:lang w:val="pt-BR"/>
        </w:rPr>
        <w:t>dez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06294F6F" w14:textId="77777777" w:rsidR="009218D8" w:rsidRPr="002C4107" w:rsidRDefault="009218D8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065BC2" w14:paraId="4B081D42" w14:textId="77777777" w:rsidTr="005B2801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9E0FDA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9E0FD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9E0FD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9E0FD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65BC2" w14:paraId="4B08AF1D" w14:textId="77777777" w:rsidTr="005B2801">
        <w:trPr>
          <w:trHeight w:val="3420"/>
        </w:trPr>
        <w:tc>
          <w:tcPr>
            <w:tcW w:w="2110" w:type="dxa"/>
            <w:vAlign w:val="center"/>
          </w:tcPr>
          <w:p w14:paraId="115744B9" w14:textId="7EC91B12" w:rsidR="003E07DE" w:rsidRPr="00201660" w:rsidRDefault="009E0FDA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66D84666" w:rsidR="003E07DE" w:rsidRPr="00E00F04" w:rsidRDefault="009E0FDA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F53E5">
              <w:rPr>
                <w:rFonts w:eastAsia="Calibri"/>
                <w:b w:val="0"/>
                <w:bCs w:val="0"/>
                <w:lang w:val="pt-BR"/>
              </w:rPr>
              <w:t>08 - SEC. ASSISTÊNCIA SOCIAL</w:t>
            </w:r>
          </w:p>
        </w:tc>
        <w:tc>
          <w:tcPr>
            <w:tcW w:w="2335" w:type="dxa"/>
          </w:tcPr>
          <w:p w14:paraId="3DDEDF09" w14:textId="129894D8" w:rsidR="003E07DE" w:rsidRPr="00E00F04" w:rsidRDefault="009E0FDA" w:rsidP="005B280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A64E08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Saúde para a </w:t>
            </w:r>
            <w:r w:rsidR="009218D8">
              <w:rPr>
                <w:rFonts w:eastAsia="Calibri"/>
                <w:b w:val="0"/>
                <w:bCs w:val="0"/>
                <w:lang w:val="pt-BR"/>
              </w:rPr>
              <w:t xml:space="preserve">Associação </w:t>
            </w:r>
            <w:r w:rsidR="005B2801">
              <w:rPr>
                <w:rFonts w:eastAsia="Calibri"/>
                <w:b w:val="0"/>
                <w:bCs w:val="0"/>
                <w:lang w:val="pt-BR"/>
              </w:rPr>
              <w:t>Igreja do Avivamento, com objetivo de custear a manutenção e atividades do Projeto Social “Novo Horizonte”</w:t>
            </w:r>
            <w:r w:rsidR="009218D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2A1F2002" w14:textId="1A35E680" w:rsidR="003E07DE" w:rsidRPr="003A191F" w:rsidRDefault="009E0FDA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5B2801">
              <w:rPr>
                <w:rFonts w:eastAsia="Calibri"/>
                <w:b w:val="0"/>
                <w:bCs w:val="0"/>
                <w:lang w:val="pt-BR"/>
              </w:rPr>
              <w:t>1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443672E2" w:rsidR="003E07DE" w:rsidRPr="002C4107" w:rsidRDefault="009E0FDA" w:rsidP="005B280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5B2801">
              <w:rPr>
                <w:rFonts w:eastAsia="Calibri"/>
                <w:b w:val="0"/>
                <w:bCs w:val="0"/>
                <w:lang w:val="pt-BR"/>
              </w:rPr>
              <w:t>10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46BD5ECA" w:rsidR="00520115" w:rsidRPr="002C4107" w:rsidRDefault="009E0FDA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5B2801">
        <w:rPr>
          <w:b w:val="0"/>
          <w:bCs w:val="0"/>
          <w:lang w:val="pt-BR"/>
        </w:rPr>
        <w:t>1</w:t>
      </w:r>
      <w:r w:rsidR="00AC78B8" w:rsidRPr="003A191F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5B2801">
        <w:rPr>
          <w:b w:val="0"/>
          <w:bCs w:val="0"/>
          <w:lang w:val="pt-BR"/>
        </w:rPr>
        <w:t>dez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9E0F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9E0F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9E0F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9E0F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9E0F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9E0F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5A8E3777" w:rsidR="007144A1" w:rsidRPr="00705CBA" w:rsidRDefault="009E0F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5B2801">
        <w:rPr>
          <w:b w:val="0"/>
          <w:bCs w:val="0"/>
          <w:lang w:val="pt-BR"/>
        </w:rPr>
        <w:t>1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9E0FDA" w:rsidP="00A00BC8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A00BC8">
      <w:pPr>
        <w:pStyle w:val="Recuodecorpodetexto"/>
        <w:ind w:left="0" w:firstLine="1418"/>
        <w:rPr>
          <w:b w:val="0"/>
          <w:bCs w:val="0"/>
        </w:rPr>
      </w:pPr>
    </w:p>
    <w:p w14:paraId="65440E4D" w14:textId="58EBF727" w:rsidR="003606E3" w:rsidRDefault="00707D9C" w:rsidP="00A00BC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9E0FDA" w:rsidRPr="002C4107">
        <w:rPr>
          <w:bCs w:val="0"/>
        </w:rPr>
        <w:t>º</w:t>
      </w:r>
      <w:r w:rsidR="009E0FDA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A00BC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A00BC8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9E0FDA" w:rsidP="00A00BC8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5E66BA9" w14:textId="0E1D3429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66C3DE" w14:textId="2E74CD41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F2F387" w14:textId="707575BB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A7DC7E1" w14:textId="02C6CCD8" w:rsidR="000663F8" w:rsidRDefault="000663F8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065BC2" w14:paraId="5A8CFD2A" w14:textId="77777777" w:rsidTr="005B2801">
        <w:tc>
          <w:tcPr>
            <w:tcW w:w="4414" w:type="dxa"/>
          </w:tcPr>
          <w:p w14:paraId="0FDE5F9D" w14:textId="77777777" w:rsidR="005B2801" w:rsidRPr="00A74133" w:rsidRDefault="009E0FDA" w:rsidP="005B280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106BCFC" w14:textId="77777777" w:rsidR="005B2801" w:rsidRPr="003A191F" w:rsidRDefault="009E0FDA" w:rsidP="005B280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1FAD2DDF" w14:textId="51C58EB8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300F6FF" w14:textId="7710596B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9435455" w14:textId="37072176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79B8AE1" w14:textId="152B9981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4ACB371" w14:textId="6DD92A7E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F4015BD" w14:textId="188ED824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B06A6CF" w14:textId="093A22DA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657BBE5" w14:textId="3ED00A98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E335138" w14:textId="21BFAFAE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1C373FC" w14:textId="52457937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E4817AF" w14:textId="3EC17336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E6DA1E8" w14:textId="6EE8F91A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AA940A5" w14:textId="4A21F0DA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321BF3A" w14:textId="10B1DA5B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2129713" w14:textId="6E3A685A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1C2243A" w14:textId="1FF4B5B1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9EAFB01" w14:textId="16AC1594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2C49BCA" w14:textId="2B998A19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C53A245" w14:textId="6F850BF4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E287624" w14:textId="51492F80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FB014F7" w14:textId="21215546" w:rsidR="005B2801" w:rsidRDefault="005B2801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9E0FDA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E27C7F7" w14:textId="77777777" w:rsidR="008B24AD" w:rsidRPr="008B24AD" w:rsidRDefault="008B24AD" w:rsidP="008B24AD">
      <w:pPr>
        <w:ind w:firstLine="1418"/>
        <w:jc w:val="both"/>
        <w:rPr>
          <w:b/>
          <w:color w:val="FF0000"/>
          <w:sz w:val="24"/>
          <w:szCs w:val="24"/>
        </w:rPr>
      </w:pPr>
    </w:p>
    <w:p w14:paraId="02731D72" w14:textId="48E5D4F0" w:rsidR="008B24AD" w:rsidRDefault="009E0FDA" w:rsidP="008B24AD">
      <w:pPr>
        <w:ind w:firstLine="1418"/>
        <w:jc w:val="both"/>
        <w:rPr>
          <w:bCs/>
          <w:sz w:val="24"/>
          <w:szCs w:val="24"/>
        </w:rPr>
      </w:pPr>
      <w:r w:rsidRPr="008B24AD">
        <w:rPr>
          <w:b/>
          <w:color w:val="FF0000"/>
          <w:sz w:val="24"/>
          <w:szCs w:val="24"/>
        </w:rPr>
        <w:t xml:space="preserve"> </w:t>
      </w:r>
      <w:r w:rsidR="00976857" w:rsidRPr="00976857">
        <w:rPr>
          <w:bCs/>
          <w:sz w:val="24"/>
          <w:szCs w:val="24"/>
        </w:rPr>
        <w:t>A Associação Igreja do Avivamento não é apenas um templo religioso; ela se configura legalmente como uma entidade do Terceiro Setor, com personalidade jurídica própria, dedicada a ações de cunho social, educacional e assistencial sob uma perspectiva de fé e serviço à comunidade.</w:t>
      </w:r>
      <w:r w:rsidR="00976857">
        <w:rPr>
          <w:bCs/>
          <w:sz w:val="24"/>
          <w:szCs w:val="24"/>
        </w:rPr>
        <w:t xml:space="preserve"> Ela </w:t>
      </w:r>
      <w:r w:rsidR="00976857" w:rsidRPr="00976857">
        <w:rPr>
          <w:bCs/>
          <w:sz w:val="24"/>
          <w:szCs w:val="24"/>
        </w:rPr>
        <w:t>possui um histórico de atuação e engajamento na comunidade de Sorriso</w:t>
      </w:r>
      <w:r w:rsidR="00976857">
        <w:rPr>
          <w:bCs/>
          <w:sz w:val="24"/>
          <w:szCs w:val="24"/>
        </w:rPr>
        <w:t>.</w:t>
      </w:r>
    </w:p>
    <w:p w14:paraId="5EA0218A" w14:textId="77777777" w:rsidR="005B2801" w:rsidRPr="008B24AD" w:rsidRDefault="005B2801" w:rsidP="008B24AD">
      <w:pPr>
        <w:ind w:firstLine="1418"/>
        <w:jc w:val="both"/>
        <w:rPr>
          <w:bCs/>
          <w:sz w:val="24"/>
          <w:szCs w:val="24"/>
        </w:rPr>
      </w:pPr>
    </w:p>
    <w:p w14:paraId="21EC4CBB" w14:textId="7F3B2FE2" w:rsidR="008B24AD" w:rsidRDefault="009E0FDA" w:rsidP="008B24AD">
      <w:pPr>
        <w:ind w:firstLine="1418"/>
        <w:jc w:val="both"/>
        <w:rPr>
          <w:bCs/>
          <w:sz w:val="24"/>
          <w:szCs w:val="24"/>
        </w:rPr>
      </w:pPr>
      <w:r w:rsidRPr="005B2801">
        <w:rPr>
          <w:bCs/>
          <w:sz w:val="24"/>
          <w:szCs w:val="24"/>
        </w:rPr>
        <w:t>O Projeto Social Novo Horizonte é dedicado a atender indivíduos e famílias em situação de risco e vulnerabilidade so</w:t>
      </w:r>
      <w:r w:rsidRPr="005B2801">
        <w:rPr>
          <w:bCs/>
          <w:sz w:val="24"/>
          <w:szCs w:val="24"/>
        </w:rPr>
        <w:t>cial (crianças, adolescentes, idosos e famílias de baixa renda), atuando como uma rede de apoio complementar à assistência social pública.</w:t>
      </w:r>
    </w:p>
    <w:p w14:paraId="6E8691F6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73BA249D" w14:textId="50388DB5" w:rsidR="000663F8" w:rsidRDefault="009E0FDA" w:rsidP="008B24AD">
      <w:pPr>
        <w:ind w:firstLine="1418"/>
        <w:jc w:val="both"/>
        <w:rPr>
          <w:bCs/>
          <w:sz w:val="24"/>
          <w:szCs w:val="24"/>
        </w:rPr>
      </w:pPr>
      <w:r w:rsidRPr="005B2801">
        <w:rPr>
          <w:bCs/>
          <w:sz w:val="24"/>
          <w:szCs w:val="24"/>
        </w:rPr>
        <w:t>Sendo uma iniciativa de base comunitária e sem fins lucrativos, o Projeto Novo Horizonte depende de recursos para ma</w:t>
      </w:r>
      <w:r w:rsidRPr="005B2801">
        <w:rPr>
          <w:bCs/>
          <w:sz w:val="24"/>
          <w:szCs w:val="24"/>
        </w:rPr>
        <w:t>nter suas portas abertas e suas at</w:t>
      </w:r>
      <w:r>
        <w:rPr>
          <w:bCs/>
          <w:sz w:val="24"/>
          <w:szCs w:val="24"/>
        </w:rPr>
        <w:t>ividades em pleno funcionamento</w:t>
      </w:r>
      <w:r w:rsidR="00571C33" w:rsidRPr="00571C33">
        <w:rPr>
          <w:bCs/>
          <w:sz w:val="24"/>
          <w:szCs w:val="24"/>
        </w:rPr>
        <w:t>.</w:t>
      </w:r>
      <w:r w:rsidR="00976857">
        <w:rPr>
          <w:bCs/>
          <w:sz w:val="24"/>
          <w:szCs w:val="24"/>
        </w:rPr>
        <w:t xml:space="preserve"> </w:t>
      </w:r>
      <w:r w:rsidR="00976857" w:rsidRPr="00976857">
        <w:rPr>
          <w:bCs/>
          <w:sz w:val="24"/>
          <w:szCs w:val="24"/>
        </w:rPr>
        <w:t>A natureza da instituição, baseada em princípios éticos e de fé, adiciona um componente moral de transparência e responsabilidade</w:t>
      </w:r>
      <w:r w:rsidR="00976857">
        <w:rPr>
          <w:bCs/>
          <w:sz w:val="24"/>
          <w:szCs w:val="24"/>
        </w:rPr>
        <w:t xml:space="preserve">. </w:t>
      </w:r>
    </w:p>
    <w:p w14:paraId="245AB422" w14:textId="24A146FA" w:rsidR="00B40C16" w:rsidRDefault="00B40C16" w:rsidP="008B24AD">
      <w:pPr>
        <w:ind w:firstLine="1418"/>
        <w:jc w:val="both"/>
        <w:rPr>
          <w:bCs/>
          <w:sz w:val="24"/>
          <w:szCs w:val="24"/>
        </w:rPr>
      </w:pPr>
    </w:p>
    <w:p w14:paraId="5A2CB6B7" w14:textId="6A3EA10E" w:rsidR="00976857" w:rsidRDefault="009E0FDA" w:rsidP="00A00BC8">
      <w:pPr>
        <w:ind w:firstLine="1418"/>
        <w:jc w:val="both"/>
        <w:rPr>
          <w:bCs/>
          <w:sz w:val="24"/>
          <w:szCs w:val="24"/>
        </w:rPr>
      </w:pPr>
      <w:r w:rsidRPr="00976857">
        <w:rPr>
          <w:bCs/>
          <w:sz w:val="24"/>
          <w:szCs w:val="24"/>
        </w:rPr>
        <w:t xml:space="preserve">O investimento em um projeto de base comunitária como o </w:t>
      </w:r>
      <w:r w:rsidRPr="00976857">
        <w:rPr>
          <w:bCs/>
          <w:sz w:val="24"/>
          <w:szCs w:val="24"/>
        </w:rPr>
        <w:t>Novo Horizonte gera um retorno social exponencial, pois a recuperação e o desenvolvimento de cada indivíduo assistido beneficiam toda a sua família e o entorno social.</w:t>
      </w:r>
    </w:p>
    <w:p w14:paraId="7FB595E9" w14:textId="77777777" w:rsidR="00976857" w:rsidRPr="008B24AD" w:rsidRDefault="00976857" w:rsidP="00A00BC8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9E0FDA" w:rsidP="00A00BC8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</w:t>
      </w:r>
      <w:r w:rsidRPr="008B24AD">
        <w:rPr>
          <w:bCs/>
          <w:sz w:val="24"/>
          <w:szCs w:val="24"/>
        </w:rPr>
        <w:t xml:space="preserve"> propositura.</w:t>
      </w:r>
    </w:p>
    <w:p w14:paraId="09C8DD5B" w14:textId="77777777" w:rsidR="002C4107" w:rsidRPr="002C4107" w:rsidRDefault="002C4107" w:rsidP="00A00BC8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A00BC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9E0FDA" w:rsidP="00A00BC8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B32FA05" w14:textId="6F757253" w:rsidR="0084722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7AFCE38" w14:textId="7E86FBC1" w:rsidR="00A00BC8" w:rsidRDefault="00A00BC8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B750AE9" w14:textId="7430406B" w:rsidR="00A00BC8" w:rsidRDefault="00A00BC8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A24366A" w14:textId="77777777" w:rsidR="00A00BC8" w:rsidRPr="006B24FF" w:rsidRDefault="00A00BC8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065BC2" w14:paraId="72ECA950" w14:textId="77777777" w:rsidTr="005B2801">
        <w:tc>
          <w:tcPr>
            <w:tcW w:w="4414" w:type="dxa"/>
          </w:tcPr>
          <w:p w14:paraId="7D13D75F" w14:textId="77777777" w:rsidR="005B2801" w:rsidRPr="00A74133" w:rsidRDefault="009E0FDA" w:rsidP="005B280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7D3A46D0" w14:textId="77777777" w:rsidR="005B2801" w:rsidRPr="00A74133" w:rsidRDefault="009E0FDA" w:rsidP="005B280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  <w:p w14:paraId="3FBBA65A" w14:textId="77777777" w:rsidR="005B2801" w:rsidRDefault="005B2801" w:rsidP="005B2801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1CE9B03A" w14:textId="77777777" w:rsidR="005B2801" w:rsidRDefault="005B2801" w:rsidP="005B2801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4C1A5944" w14:textId="77777777" w:rsidR="005B2801" w:rsidRDefault="005B2801" w:rsidP="005B2801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29DF6863" w14:textId="77777777" w:rsidR="005B2801" w:rsidRDefault="005B2801" w:rsidP="005B2801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7AB459E7" w14:textId="77777777" w:rsidR="005B2801" w:rsidRDefault="005B2801" w:rsidP="005B2801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73E9FF1B" w14:textId="77777777" w:rsidR="005B2801" w:rsidRDefault="005B2801" w:rsidP="005B2801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35EC8803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A00BC8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AC296" w14:textId="77777777" w:rsidR="009E0FDA" w:rsidRDefault="009E0FDA">
      <w:r>
        <w:separator/>
      </w:r>
    </w:p>
  </w:endnote>
  <w:endnote w:type="continuationSeparator" w:id="0">
    <w:p w14:paraId="3AAABA89" w14:textId="77777777" w:rsidR="009E0FDA" w:rsidRDefault="009E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79A53" w14:textId="77777777" w:rsidR="009E0FDA" w:rsidRDefault="009E0FDA">
      <w:r>
        <w:separator/>
      </w:r>
    </w:p>
  </w:footnote>
  <w:footnote w:type="continuationSeparator" w:id="0">
    <w:p w14:paraId="2549E119" w14:textId="77777777" w:rsidR="009E0FDA" w:rsidRDefault="009E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4584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0D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AA04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C7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27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83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C3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00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A4D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5BC2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0F53E5"/>
    <w:rsid w:val="001004BD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4449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1C33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2801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60111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18D8"/>
    <w:rsid w:val="00924AC3"/>
    <w:rsid w:val="00924CFD"/>
    <w:rsid w:val="0093085E"/>
    <w:rsid w:val="00930E97"/>
    <w:rsid w:val="009368BA"/>
    <w:rsid w:val="0095484B"/>
    <w:rsid w:val="00962E29"/>
    <w:rsid w:val="00975915"/>
    <w:rsid w:val="00976857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E0FDA"/>
    <w:rsid w:val="009F14FA"/>
    <w:rsid w:val="009F7357"/>
    <w:rsid w:val="009F7CB2"/>
    <w:rsid w:val="00A00BC8"/>
    <w:rsid w:val="00A02A3B"/>
    <w:rsid w:val="00A1073B"/>
    <w:rsid w:val="00A179C7"/>
    <w:rsid w:val="00A17CE6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4E08"/>
    <w:rsid w:val="00A67F62"/>
    <w:rsid w:val="00A74133"/>
    <w:rsid w:val="00A75944"/>
    <w:rsid w:val="00A90DE3"/>
    <w:rsid w:val="00AA501D"/>
    <w:rsid w:val="00AA55C5"/>
    <w:rsid w:val="00AB1721"/>
    <w:rsid w:val="00AB3AAD"/>
    <w:rsid w:val="00AB3EC2"/>
    <w:rsid w:val="00AB55EE"/>
    <w:rsid w:val="00AB56CF"/>
    <w:rsid w:val="00AC78B8"/>
    <w:rsid w:val="00AC7C89"/>
    <w:rsid w:val="00AE0984"/>
    <w:rsid w:val="00AE136C"/>
    <w:rsid w:val="00AE2EB7"/>
    <w:rsid w:val="00AF4B50"/>
    <w:rsid w:val="00B166A7"/>
    <w:rsid w:val="00B166AB"/>
    <w:rsid w:val="00B242E3"/>
    <w:rsid w:val="00B4029B"/>
    <w:rsid w:val="00B40C16"/>
    <w:rsid w:val="00B55DA1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35102"/>
    <w:rsid w:val="00C3731E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D36"/>
    <w:rsid w:val="00F22EC9"/>
    <w:rsid w:val="00F23941"/>
    <w:rsid w:val="00F27EC3"/>
    <w:rsid w:val="00F36B7B"/>
    <w:rsid w:val="00F37127"/>
    <w:rsid w:val="00F4143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37DA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19</cp:revision>
  <cp:lastPrinted>2021-11-29T11:54:00Z</cp:lastPrinted>
  <dcterms:created xsi:type="dcterms:W3CDTF">2025-11-27T21:21:00Z</dcterms:created>
  <dcterms:modified xsi:type="dcterms:W3CDTF">2025-12-03T20:30:00Z</dcterms:modified>
</cp:coreProperties>
</file>