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9745F" w14:textId="5BD42300" w:rsidR="00030BD7" w:rsidRPr="00CA081A" w:rsidRDefault="00030BD7" w:rsidP="00CA081A">
      <w:pPr>
        <w:ind w:left="2694"/>
        <w:rPr>
          <w:rFonts w:eastAsia="Arial"/>
          <w:b/>
          <w:bCs/>
        </w:rPr>
      </w:pPr>
      <w:r w:rsidRPr="00CA081A">
        <w:rPr>
          <w:rFonts w:eastAsia="Arial"/>
          <w:b/>
          <w:bCs/>
        </w:rPr>
        <w:t xml:space="preserve">LEI COMPLEMENTAR N° </w:t>
      </w:r>
      <w:r w:rsidR="008A3CF4" w:rsidRPr="00CA081A">
        <w:rPr>
          <w:b/>
        </w:rPr>
        <w:t>48</w:t>
      </w:r>
      <w:r w:rsidR="008A3CF4" w:rsidRPr="00CA081A">
        <w:rPr>
          <w:b/>
        </w:rPr>
        <w:t>6</w:t>
      </w:r>
      <w:r w:rsidR="008A3CF4" w:rsidRPr="00CA081A">
        <w:rPr>
          <w:b/>
        </w:rPr>
        <w:t xml:space="preserve">, DE </w:t>
      </w:r>
      <w:r w:rsidR="008A3CF4" w:rsidRPr="00CA081A">
        <w:rPr>
          <w:b/>
        </w:rPr>
        <w:t>23</w:t>
      </w:r>
      <w:r w:rsidR="008A3CF4" w:rsidRPr="00CA081A">
        <w:rPr>
          <w:b/>
        </w:rPr>
        <w:t xml:space="preserve"> DE MARÇO DE 2026</w:t>
      </w:r>
    </w:p>
    <w:p w14:paraId="7F75C34A" w14:textId="77777777" w:rsidR="00030BD7" w:rsidRPr="00CA081A" w:rsidRDefault="00030BD7" w:rsidP="00CA081A">
      <w:pPr>
        <w:ind w:left="2694"/>
        <w:textAlignment w:val="baseline"/>
        <w:rPr>
          <w:rFonts w:eastAsia="Arial"/>
          <w:b/>
          <w:bCs/>
        </w:rPr>
      </w:pPr>
    </w:p>
    <w:p w14:paraId="63D1DEF3" w14:textId="77777777" w:rsidR="00030BD7" w:rsidRPr="00CA081A" w:rsidRDefault="00030BD7" w:rsidP="00CA081A">
      <w:pPr>
        <w:ind w:left="2694"/>
        <w:jc w:val="both"/>
        <w:textAlignment w:val="baseline"/>
        <w:rPr>
          <w:rFonts w:eastAsia="Arial"/>
        </w:rPr>
      </w:pPr>
    </w:p>
    <w:p w14:paraId="0562EDDE" w14:textId="77777777" w:rsidR="00030BD7" w:rsidRPr="00CA081A" w:rsidRDefault="00030BD7" w:rsidP="00CA081A">
      <w:pPr>
        <w:ind w:left="2694"/>
        <w:jc w:val="both"/>
        <w:textAlignment w:val="baseline"/>
        <w:rPr>
          <w:rFonts w:eastAsia="Arial"/>
        </w:rPr>
      </w:pPr>
      <w:r w:rsidRPr="00CA081A">
        <w:rPr>
          <w:rFonts w:eastAsia="Arial"/>
        </w:rPr>
        <w:t xml:space="preserve">Dispõe sobre alterações na </w:t>
      </w:r>
      <w:r w:rsidRPr="00CA081A">
        <w:t>Lei Complementar nº 134/2011, na Lei Complementar nº 138/2011, na Lei Complementar nº 139/2011 e na Lei Complementar nº 307/2019</w:t>
      </w:r>
      <w:r w:rsidRPr="00CA081A">
        <w:rPr>
          <w:rFonts w:eastAsia="Arial"/>
        </w:rPr>
        <w:t>, e dá outras providências.</w:t>
      </w:r>
    </w:p>
    <w:p w14:paraId="3F4C0C1B" w14:textId="77777777" w:rsidR="00030BD7" w:rsidRPr="00CA081A" w:rsidRDefault="00030BD7" w:rsidP="00CA081A">
      <w:pPr>
        <w:ind w:left="3402"/>
        <w:jc w:val="both"/>
        <w:textAlignment w:val="baseline"/>
        <w:rPr>
          <w:rFonts w:eastAsia="Arial"/>
        </w:rPr>
      </w:pPr>
    </w:p>
    <w:p w14:paraId="637932F6" w14:textId="77777777" w:rsidR="00030BD7" w:rsidRPr="00CA081A" w:rsidRDefault="00030BD7" w:rsidP="00CA081A">
      <w:pPr>
        <w:ind w:left="3402"/>
        <w:jc w:val="both"/>
        <w:textAlignment w:val="baseline"/>
        <w:rPr>
          <w:rFonts w:eastAsia="Arial"/>
        </w:rPr>
      </w:pPr>
    </w:p>
    <w:p w14:paraId="5EEB60BF" w14:textId="77777777" w:rsidR="008A3CF4" w:rsidRPr="00CA081A" w:rsidRDefault="008A3CF4" w:rsidP="00CA081A">
      <w:pPr>
        <w:ind w:firstLine="1418"/>
        <w:jc w:val="both"/>
        <w:rPr>
          <w:rFonts w:eastAsia="Arial"/>
        </w:rPr>
      </w:pPr>
      <w:r w:rsidRPr="00CA081A">
        <w:rPr>
          <w:rFonts w:eastAsia="Arial"/>
        </w:rPr>
        <w:t>Alei Fernandes, prefeito municipal de Sorriso, estado de Mato Grosso, faço saber que a Câmara Municipal de Sorriso aprovou e eu sanciono a seguinte Lei C</w:t>
      </w:r>
      <w:r w:rsidRPr="00CA081A">
        <w:rPr>
          <w:iCs/>
        </w:rPr>
        <w:t>omplementar:</w:t>
      </w:r>
    </w:p>
    <w:p w14:paraId="407193A4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6039CC19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2457CCE6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Art. 1º</w:t>
      </w:r>
      <w:r w:rsidRPr="00CA081A">
        <w:rPr>
          <w:rFonts w:eastAsia="Arial"/>
        </w:rPr>
        <w:t xml:space="preserve"> A Lei Complementar nº 134, de 28 de julho de 2011, passa a vigorar com a seguintes alterações:</w:t>
      </w:r>
    </w:p>
    <w:p w14:paraId="575C6A05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0F5C3330" w14:textId="77777777" w:rsidR="00030BD7" w:rsidRPr="00CA081A" w:rsidRDefault="00030BD7" w:rsidP="00CA081A">
      <w:pPr>
        <w:ind w:firstLine="1418"/>
        <w:jc w:val="both"/>
        <w:rPr>
          <w:rFonts w:eastAsia="PMingLiU"/>
          <w:color w:val="000000" w:themeColor="text1"/>
        </w:rPr>
      </w:pPr>
      <w:r w:rsidRPr="00CA081A">
        <w:rPr>
          <w:b/>
          <w:color w:val="000000" w:themeColor="text1"/>
        </w:rPr>
        <w:t>“Art. 15</w:t>
      </w:r>
      <w:r w:rsidRPr="00CA081A">
        <w:rPr>
          <w:color w:val="000000" w:themeColor="text1"/>
        </w:rPr>
        <w:t>. .............................................................................................................</w:t>
      </w:r>
    </w:p>
    <w:p w14:paraId="5F246518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12472D74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§3º</w:t>
      </w:r>
      <w:r w:rsidRPr="00CA081A">
        <w:rPr>
          <w:rFonts w:eastAsia="Arial"/>
        </w:rPr>
        <w:t xml:space="preserve"> As cópias dos certificados/diplomas dos cursos de aperfeiçoamento, qualificação e/ou capacitação profissional, serão autenticados e/ou conferidos/reconhecidos por servidor efetivo do Departamento de Gestão de Pessoas da SEMAD ou do RH Setorial do Órgão de lotação, mediante a apresentação do documento original de conclusão do curso, sendo imprescindível a anotação da data de seu recebimento e a devida identificação do servidor autenticador, com a inscrição de seu nome, cargo e número de matrícula,  o servidor responsável pela análise deverá observar, dentre outros, os seguintes requisitos para sua concessão:</w:t>
      </w:r>
    </w:p>
    <w:p w14:paraId="4FA7658D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</w:rPr>
        <w:t xml:space="preserve"> (...)</w:t>
      </w:r>
    </w:p>
    <w:p w14:paraId="63EFA4B8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7B8F0028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§7º</w:t>
      </w:r>
      <w:r w:rsidRPr="00CA081A">
        <w:rPr>
          <w:rFonts w:eastAsia="Arial"/>
        </w:rPr>
        <w:t xml:space="preserve"> A qualificação e o esforço pessoal em busca de maiores níveis de educação formal dos servidores abrangidos por esta lei, visando o seu crescimento acadêmico e à sua permanência no serviço público, serão estimulados por meio da ascensão funcional, que serão concedidas por intermédio da documentação apresentada pelo servidor requerente  e mediante análise  do Departamento Gestão de Pessoas da SEMAD, como a emissão de manifestação técnica de enquadramento inicial e das promoções horizontais anteriores, caso não seja a primeira promoção, visando a confirmação de que os diplomas e certificados não foram utilizados no enquadramento inicial e/ou promoções horizontais anteriores.</w:t>
      </w:r>
    </w:p>
    <w:p w14:paraId="3805EC27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</w:rPr>
        <w:t>(...)</w:t>
      </w:r>
    </w:p>
    <w:p w14:paraId="5641641E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25AAA579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§13.</w:t>
      </w:r>
      <w:r w:rsidRPr="00CA081A">
        <w:rPr>
          <w:rFonts w:eastAsia="Arial"/>
        </w:rPr>
        <w:t xml:space="preserve"> O processo será indeferido de plano caso não esteja devidamente instrumentalizado com os documentos previstos no caput deste artigo.</w:t>
      </w:r>
    </w:p>
    <w:p w14:paraId="1E9ACCE1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33B296E0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  <w:b/>
        </w:rPr>
      </w:pPr>
      <w:r w:rsidRPr="00CA081A">
        <w:rPr>
          <w:rFonts w:eastAsia="Arial"/>
          <w:b/>
        </w:rPr>
        <w:t>§14</w:t>
      </w:r>
      <w:r w:rsidRPr="00CA081A">
        <w:rPr>
          <w:rFonts w:eastAsia="Arial"/>
        </w:rPr>
        <w:t>.</w:t>
      </w:r>
      <w:r w:rsidRPr="00CA081A">
        <w:t xml:space="preserve"> </w:t>
      </w:r>
      <w:r w:rsidRPr="00CA081A">
        <w:rPr>
          <w:rFonts w:eastAsia="Arial"/>
        </w:rPr>
        <w:t>Os cursos de longa duração, como cursos técnicos, graduações, especializações, mestrados e doutorados, poderão ser aceitos independentemente do prazo previsto no §3º, inciso b, desde que não tenham sido utilizados em progressões ou promoções anteriores e guardem pertinência com a área de atuação do servidor.</w:t>
      </w:r>
    </w:p>
    <w:p w14:paraId="6552DF9F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3759C535" w14:textId="77777777" w:rsidR="00030BD7" w:rsidRPr="00CA081A" w:rsidRDefault="00030BD7" w:rsidP="00CA081A">
      <w:pPr>
        <w:ind w:firstLine="1418"/>
        <w:jc w:val="both"/>
        <w:rPr>
          <w:rFonts w:eastAsia="PMingLiU"/>
          <w:color w:val="000000" w:themeColor="text1"/>
        </w:rPr>
      </w:pPr>
      <w:r w:rsidRPr="00CA081A">
        <w:rPr>
          <w:b/>
          <w:color w:val="000000" w:themeColor="text1"/>
        </w:rPr>
        <w:lastRenderedPageBreak/>
        <w:t>Art. 17</w:t>
      </w:r>
      <w:r w:rsidRPr="00CA081A">
        <w:rPr>
          <w:color w:val="000000" w:themeColor="text1"/>
        </w:rPr>
        <w:t>. .................................................................................................................</w:t>
      </w:r>
    </w:p>
    <w:p w14:paraId="09EF520E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3D2BA7B9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 § 1º</w:t>
      </w:r>
      <w:r w:rsidRPr="00CA081A">
        <w:rPr>
          <w:rFonts w:eastAsia="Arial"/>
        </w:rPr>
        <w:t> Na hipótese indicada no Item IX deste artigo, configura desvio de função, qualquer situação em que servidor deixe de exercer totalmente as atribuições de seu cargo de origem.</w:t>
      </w:r>
    </w:p>
    <w:p w14:paraId="4ECE265E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55A2CCE6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§2º</w:t>
      </w:r>
      <w:r w:rsidRPr="00CA081A">
        <w:rPr>
          <w:rFonts w:eastAsia="Arial"/>
        </w:rPr>
        <w:t xml:space="preserve"> (Revogado);</w:t>
      </w:r>
    </w:p>
    <w:p w14:paraId="619B6AD8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225ED1C3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</w:rPr>
        <w:t>(...)</w:t>
      </w:r>
    </w:p>
    <w:p w14:paraId="2AA1F1E5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21C99FAE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§6º</w:t>
      </w:r>
      <w:r w:rsidRPr="00CA081A">
        <w:rPr>
          <w:rFonts w:eastAsia="Arial"/>
        </w:rPr>
        <w:t xml:space="preserve"> Não configura desvio de função a mera nomeação para o exercício de cargo comissionado ou função gratificada, ou ainda, a transferência para outra unidade da Administração Direta, Autárquica e Fundacional municipal, desde que, além das novas atribuições também desenvolva atividades inerentes ao seu cargo originário.</w:t>
      </w:r>
    </w:p>
    <w:p w14:paraId="4EFFA69C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40A784B1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§ 7º</w:t>
      </w:r>
      <w:r w:rsidRPr="00CA081A">
        <w:rPr>
          <w:rFonts w:eastAsia="Arial"/>
        </w:rPr>
        <w:t xml:space="preserve"> O desvio de função deve ser analisado com base nas atribuições do cargo e nas atividades efetivamente realizadas pelo </w:t>
      </w:r>
      <w:proofErr w:type="gramStart"/>
      <w:r w:rsidRPr="00CA081A">
        <w:rPr>
          <w:rFonts w:eastAsia="Arial"/>
        </w:rPr>
        <w:t>servidor.”</w:t>
      </w:r>
      <w:proofErr w:type="gramEnd"/>
    </w:p>
    <w:p w14:paraId="759A41DB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39DD5A4E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Art. 2º</w:t>
      </w:r>
      <w:r w:rsidRPr="00CA081A">
        <w:rPr>
          <w:rFonts w:eastAsia="Arial"/>
        </w:rPr>
        <w:t xml:space="preserve"> A Lei Complementar nº 138, de 26 de agosto de 2011, passa a vigorar com a seguintes alterações:</w:t>
      </w:r>
    </w:p>
    <w:p w14:paraId="7BDE43F7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18E24E93" w14:textId="77777777" w:rsidR="00030BD7" w:rsidRPr="00CA081A" w:rsidRDefault="00030BD7" w:rsidP="00CA081A">
      <w:pPr>
        <w:ind w:firstLine="1418"/>
        <w:jc w:val="both"/>
        <w:rPr>
          <w:rFonts w:eastAsia="PMingLiU"/>
          <w:color w:val="000000" w:themeColor="text1"/>
        </w:rPr>
      </w:pPr>
      <w:r w:rsidRPr="00CA081A">
        <w:rPr>
          <w:b/>
          <w:color w:val="000000" w:themeColor="text1"/>
        </w:rPr>
        <w:t>“Art. 15</w:t>
      </w:r>
      <w:r w:rsidRPr="00CA081A">
        <w:rPr>
          <w:color w:val="000000" w:themeColor="text1"/>
        </w:rPr>
        <w:t>. .............................................................................................................</w:t>
      </w:r>
    </w:p>
    <w:p w14:paraId="3CED09FC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6CA4E54E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§3º</w:t>
      </w:r>
      <w:r w:rsidRPr="00CA081A">
        <w:rPr>
          <w:rFonts w:eastAsia="Arial"/>
        </w:rPr>
        <w:t xml:space="preserve"> As cópias dos certificados/diplomas dos cursos de aperfeiçoamento, qualificação e/ou capacitação profissional, serão autenticados e/ou conferidos/reconhecidos por servidor efetivo do Departamento de Gestão de Pessoas da SEMAD ou do RH Setorial do Órgão de lotação, mediante a apresentação do documento original de conclusão do curso, sendo imprescindível a anotação da data de seu recebimento e a devida identificação do servidor autenticador, com a inscrição de seu nome, cargo e número de matrícula,  o servidor responsável pela análise deverá observar, dentre outros, os seguintes requisitos para sua concessão:</w:t>
      </w:r>
    </w:p>
    <w:p w14:paraId="0CFDDC99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</w:rPr>
        <w:t xml:space="preserve"> (...)</w:t>
      </w:r>
    </w:p>
    <w:p w14:paraId="0204856B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027F1751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§7º</w:t>
      </w:r>
      <w:r w:rsidRPr="00CA081A">
        <w:rPr>
          <w:rFonts w:eastAsia="Arial"/>
        </w:rPr>
        <w:t xml:space="preserve"> A qualificação e o esforço pessoal em busca de maiores níveis de educação formal dos servidores abrangidos por esta lei, visando o seu crescimento acadêmico e à sua permanência no serviço público, serão estimulados por meio da ascensão funcional, que serão concedidas por intermédio da documentação apresentada pelo servidor requerente  e mediante análise  do Departamento Gestão de Pessoas da SEMAD, como a emissão de manifestação técnica de enquadramento inicial e das promoções horizontais anteriores, caso não seja a primeira promoção, visando a confirmação de que os diplomas e certificados não foram utilizados no enquadramento inicial e/ou promoções horizontais anteriores.</w:t>
      </w:r>
    </w:p>
    <w:p w14:paraId="60AE2FCE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</w:rPr>
        <w:t>(...)</w:t>
      </w:r>
    </w:p>
    <w:p w14:paraId="156CD736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0B88FB9A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§14.</w:t>
      </w:r>
      <w:r w:rsidRPr="00CA081A">
        <w:rPr>
          <w:rFonts w:eastAsia="Arial"/>
        </w:rPr>
        <w:t xml:space="preserve"> O processo será indeferido de plano caso não esteja devidamente instrumentalizado com os documentos previstos no caput deste artigo.</w:t>
      </w:r>
    </w:p>
    <w:p w14:paraId="2128F347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3B09A457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  <w:b/>
        </w:rPr>
      </w:pPr>
      <w:r w:rsidRPr="00CA081A">
        <w:rPr>
          <w:rFonts w:eastAsia="Arial"/>
          <w:b/>
        </w:rPr>
        <w:t>§15</w:t>
      </w:r>
      <w:r w:rsidRPr="00CA081A">
        <w:rPr>
          <w:rFonts w:eastAsia="Arial"/>
        </w:rPr>
        <w:t>.</w:t>
      </w:r>
      <w:r w:rsidRPr="00CA081A">
        <w:t xml:space="preserve"> </w:t>
      </w:r>
      <w:r w:rsidRPr="00CA081A">
        <w:rPr>
          <w:rFonts w:eastAsia="Arial"/>
        </w:rPr>
        <w:t xml:space="preserve">Os cursos de longa duração, como cursos técnicos, graduações, especializações, mestrados e doutorados, poderão ser aceitos independentemente do prazo previsto no §3º, inciso b, desde que não tenham sido utilizados em progressões ou promoções anteriores e guardem pertinência com a área de atuação do </w:t>
      </w:r>
      <w:proofErr w:type="gramStart"/>
      <w:r w:rsidRPr="00CA081A">
        <w:rPr>
          <w:rFonts w:eastAsia="Arial"/>
        </w:rPr>
        <w:t>servidor.”</w:t>
      </w:r>
      <w:proofErr w:type="gramEnd"/>
    </w:p>
    <w:p w14:paraId="7BF26442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1CFD4332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Art. 3º</w:t>
      </w:r>
      <w:r w:rsidRPr="00CA081A">
        <w:rPr>
          <w:rFonts w:eastAsia="Arial"/>
        </w:rPr>
        <w:t xml:space="preserve"> A Lei Complementar nº 139, de 26 de agosto de 2011, passa a vigorar com a seguintes alterações:</w:t>
      </w:r>
    </w:p>
    <w:p w14:paraId="3B079B86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2DE62CA9" w14:textId="77777777" w:rsidR="00030BD7" w:rsidRPr="00CA081A" w:rsidRDefault="00030BD7" w:rsidP="00CA081A">
      <w:pPr>
        <w:ind w:firstLine="1418"/>
        <w:jc w:val="both"/>
        <w:rPr>
          <w:rFonts w:eastAsia="PMingLiU"/>
          <w:color w:val="000000" w:themeColor="text1"/>
        </w:rPr>
      </w:pPr>
      <w:r w:rsidRPr="00CA081A">
        <w:rPr>
          <w:b/>
          <w:color w:val="000000" w:themeColor="text1"/>
        </w:rPr>
        <w:t>“Art. 52</w:t>
      </w:r>
      <w:r w:rsidRPr="00CA081A">
        <w:rPr>
          <w:color w:val="000000" w:themeColor="text1"/>
        </w:rPr>
        <w:t>. .............................................................................................................</w:t>
      </w:r>
    </w:p>
    <w:p w14:paraId="724C2615" w14:textId="77777777" w:rsidR="00030BD7" w:rsidRPr="00CA081A" w:rsidRDefault="00030BD7" w:rsidP="00CA081A">
      <w:pPr>
        <w:ind w:firstLine="1418"/>
        <w:jc w:val="both"/>
        <w:rPr>
          <w:color w:val="000000" w:themeColor="text1"/>
        </w:rPr>
      </w:pPr>
    </w:p>
    <w:p w14:paraId="6E5DF9E6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§3º</w:t>
      </w:r>
      <w:r w:rsidRPr="00CA081A">
        <w:rPr>
          <w:rFonts w:eastAsia="Arial"/>
        </w:rPr>
        <w:t xml:space="preserve"> As cópias dos certificados/diplomas dos cursos de aperfeiçoamento, qualificação e/ou capacitação profissional, serão autenticados e/ou conferidos/reconhecidos por servidor efetivo do Departamento de Gestão de Pessoas da SEMAD ou do RH Setorial do Órgão de lotação, mediante a apresentação do documento original de conclusão do curso, sendo imprescindível a anotação da data de seu recebimento e a devida identificação do servidor autenticador, com a inscrição de seu nome, cargo e número de matrícula,  o servidor responsável pela análise deverá observar, dentre outros, os seguintes requisitos para sua concessão:</w:t>
      </w:r>
    </w:p>
    <w:p w14:paraId="2648D994" w14:textId="779826D5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</w:rPr>
        <w:t>(...)</w:t>
      </w:r>
    </w:p>
    <w:p w14:paraId="2316A79A" w14:textId="77777777" w:rsidR="00D45FEE" w:rsidRPr="00CA081A" w:rsidRDefault="00D45FEE" w:rsidP="00CA081A">
      <w:pPr>
        <w:ind w:firstLine="1418"/>
        <w:jc w:val="both"/>
        <w:textAlignment w:val="baseline"/>
        <w:rPr>
          <w:rFonts w:eastAsia="Arial"/>
        </w:rPr>
      </w:pPr>
    </w:p>
    <w:p w14:paraId="53CFC154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§7º</w:t>
      </w:r>
      <w:r w:rsidRPr="00CA081A">
        <w:rPr>
          <w:rFonts w:eastAsia="Arial"/>
        </w:rPr>
        <w:t xml:space="preserve"> A qualificação e o esforço pessoal em busca de maiores níveis de educação formal dos servidores abrangidos por esta lei, visando o seu crescimento acadêmico e à sua permanência no serviço público, serão estimulados por meio da ascensão funcional, que serão concedidas por intermédio da documentação apresentada pelo servidor requerente  e mediante análise  do Departamento Gestão de Pessoas da SEMAD, como a emissão de manifestação técnica de enquadramento inicial e das promoções horizontais anteriores, caso não seja a primeira promoção, visando a confirmação de que os diplomas e certificados não foram utilizados no enquadramento inicial e/ou promoções horizontais anteriores.</w:t>
      </w:r>
    </w:p>
    <w:p w14:paraId="6438A70E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</w:rPr>
        <w:t>(...)</w:t>
      </w:r>
    </w:p>
    <w:p w14:paraId="6C6DA15F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</w:p>
    <w:p w14:paraId="44D498D2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§13.</w:t>
      </w:r>
      <w:r w:rsidRPr="00CA081A">
        <w:rPr>
          <w:rFonts w:eastAsia="Arial"/>
        </w:rPr>
        <w:t xml:space="preserve"> O processo será indeferido de plano caso não esteja devidamente instrumentalizado com os documentos previstos no caput deste artigo.</w:t>
      </w:r>
    </w:p>
    <w:p w14:paraId="2AF78BEE" w14:textId="77777777" w:rsidR="00030BD7" w:rsidRPr="00CA081A" w:rsidRDefault="00030BD7" w:rsidP="00CA081A">
      <w:pPr>
        <w:ind w:firstLine="1418"/>
        <w:jc w:val="both"/>
        <w:textAlignment w:val="baseline"/>
        <w:rPr>
          <w:rFonts w:eastAsia="Arial"/>
          <w:b/>
        </w:rPr>
      </w:pPr>
    </w:p>
    <w:p w14:paraId="75BFE28E" w14:textId="6A993FDC" w:rsidR="00030BD7" w:rsidRPr="00CA081A" w:rsidRDefault="00030BD7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§14</w:t>
      </w:r>
      <w:r w:rsidRPr="00CA081A">
        <w:rPr>
          <w:rFonts w:eastAsia="Arial"/>
        </w:rPr>
        <w:t>.</w:t>
      </w:r>
      <w:r w:rsidRPr="00CA081A">
        <w:t xml:space="preserve"> </w:t>
      </w:r>
      <w:r w:rsidRPr="00CA081A">
        <w:rPr>
          <w:rFonts w:eastAsia="Arial"/>
        </w:rPr>
        <w:t xml:space="preserve">Os cursos de longa duração, como cursos técnicos, graduações, especializações, mestrados e doutorados, poderão ser aceitos independentemente do prazo previsto no §3º, inciso b, desde que não tenham sido utilizados em progressões ou promoções anteriores e guardem pertinência com a área de atuação do </w:t>
      </w:r>
      <w:proofErr w:type="gramStart"/>
      <w:r w:rsidRPr="00CA081A">
        <w:rPr>
          <w:rFonts w:eastAsia="Arial"/>
        </w:rPr>
        <w:t>servidor.”</w:t>
      </w:r>
      <w:proofErr w:type="gramEnd"/>
    </w:p>
    <w:p w14:paraId="1433CB78" w14:textId="22116754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</w:p>
    <w:p w14:paraId="287408D9" w14:textId="75A94619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Art. 4º</w:t>
      </w:r>
      <w:r w:rsidRPr="00CA081A">
        <w:rPr>
          <w:rFonts w:eastAsia="Arial"/>
        </w:rPr>
        <w:t xml:space="preserve"> A Lei Complementar nº 307, de 12 de dezembro de 2019, passa a vigorar com a seguintes alterações:</w:t>
      </w:r>
    </w:p>
    <w:p w14:paraId="06843FB5" w14:textId="77777777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</w:p>
    <w:p w14:paraId="1A8CB230" w14:textId="0097483C" w:rsidR="004B2056" w:rsidRPr="00CA081A" w:rsidRDefault="004B2056" w:rsidP="00CA081A">
      <w:pPr>
        <w:ind w:firstLine="1418"/>
        <w:jc w:val="both"/>
        <w:rPr>
          <w:rFonts w:eastAsia="PMingLiU"/>
          <w:color w:val="000000" w:themeColor="text1"/>
        </w:rPr>
      </w:pPr>
      <w:r w:rsidRPr="00CA081A">
        <w:rPr>
          <w:b/>
          <w:color w:val="000000" w:themeColor="text1"/>
        </w:rPr>
        <w:t>“Art. 36</w:t>
      </w:r>
      <w:r w:rsidRPr="00CA081A">
        <w:rPr>
          <w:color w:val="000000" w:themeColor="text1"/>
        </w:rPr>
        <w:t>. .............................................................................................................</w:t>
      </w:r>
    </w:p>
    <w:p w14:paraId="229C8E17" w14:textId="77777777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</w:p>
    <w:p w14:paraId="6B03DA1A" w14:textId="77777777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lastRenderedPageBreak/>
        <w:t>§3º</w:t>
      </w:r>
      <w:r w:rsidRPr="00CA081A">
        <w:rPr>
          <w:rFonts w:eastAsia="Arial"/>
        </w:rPr>
        <w:t xml:space="preserve"> As cópias dos certificados/diplomas dos cursos de aperfeiçoamento, qualificação e/ou capacitação profissional, serão autenticados e/ou conferidos/reconhecidos por servidor efetivo do Departamento de Gestão de Pessoas da SEMAD ou do RH Setorial do Órgão de lotação, mediante a apresentação do documento original de conclusão do curso, sendo imprescindível a anotação da data de seu recebimento e a devida identificação do servidor autenticador, com a inscrição de seu nome, cargo e número de matrícula,  o servidor responsável pela análise deverá observar, dentre outros, os seguintes requisitos para sua concessão:</w:t>
      </w:r>
    </w:p>
    <w:p w14:paraId="0DD2F7CE" w14:textId="0B509505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</w:rPr>
        <w:t xml:space="preserve"> (...)</w:t>
      </w:r>
    </w:p>
    <w:p w14:paraId="2D7188C1" w14:textId="77777777" w:rsidR="00D45FEE" w:rsidRPr="00CA081A" w:rsidRDefault="00D45FEE" w:rsidP="00CA081A">
      <w:pPr>
        <w:ind w:firstLine="1418"/>
        <w:jc w:val="both"/>
        <w:textAlignment w:val="baseline"/>
        <w:rPr>
          <w:rFonts w:eastAsia="Arial"/>
        </w:rPr>
      </w:pPr>
    </w:p>
    <w:p w14:paraId="5E4D85F0" w14:textId="77777777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§7º</w:t>
      </w:r>
      <w:r w:rsidRPr="00CA081A">
        <w:rPr>
          <w:rFonts w:eastAsia="Arial"/>
        </w:rPr>
        <w:t xml:space="preserve"> A qualificação e o esforço pessoal em busca de maiores níveis de educação formal dos servidores abrangidos por esta lei, visando o seu crescimento acadêmico e à sua permanência no serviço público, serão estimulados por meio da ascensão funcional, que serão concedidas por intermédio da documentação apresentada pelo servidor requerente  e mediante análise  do Departamento Gestão de Pessoas da SEMAD, como a emissão de manifestação técnica de enquadramento inicial e das promoções horizontais anteriores, caso não seja a primeira promoção, visando a confirmação de que os diplomas e certificados não foram utilizados no enquadramento inicial e/ou promoções horizontais anteriores.</w:t>
      </w:r>
    </w:p>
    <w:p w14:paraId="5F183582" w14:textId="77777777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</w:rPr>
        <w:t>(...)</w:t>
      </w:r>
    </w:p>
    <w:p w14:paraId="3EC99697" w14:textId="77777777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</w:p>
    <w:p w14:paraId="56A2FAF1" w14:textId="184FCBF6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§14.</w:t>
      </w:r>
      <w:r w:rsidRPr="00CA081A">
        <w:rPr>
          <w:rFonts w:eastAsia="Arial"/>
        </w:rPr>
        <w:t xml:space="preserve"> O processo será indeferido de plano caso não esteja devidamente instrumentalizado com os documentos previstos no caput deste artigo.</w:t>
      </w:r>
    </w:p>
    <w:p w14:paraId="4581D275" w14:textId="77777777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</w:p>
    <w:p w14:paraId="2073A35B" w14:textId="4B396CF8" w:rsidR="004B2056" w:rsidRPr="00CA081A" w:rsidRDefault="004B2056" w:rsidP="00CA081A">
      <w:pPr>
        <w:ind w:firstLine="1418"/>
        <w:jc w:val="both"/>
        <w:textAlignment w:val="baseline"/>
        <w:rPr>
          <w:rFonts w:eastAsia="Arial"/>
          <w:b/>
        </w:rPr>
      </w:pPr>
      <w:r w:rsidRPr="00CA081A">
        <w:rPr>
          <w:rFonts w:eastAsia="Arial"/>
          <w:b/>
        </w:rPr>
        <w:t>§15</w:t>
      </w:r>
      <w:r w:rsidRPr="00CA081A">
        <w:rPr>
          <w:rFonts w:eastAsia="Arial"/>
        </w:rPr>
        <w:t>.</w:t>
      </w:r>
      <w:r w:rsidRPr="00CA081A">
        <w:t xml:space="preserve"> </w:t>
      </w:r>
      <w:r w:rsidRPr="00CA081A">
        <w:rPr>
          <w:rFonts w:eastAsia="Arial"/>
        </w:rPr>
        <w:t>Os cursos de longa duração, como cursos técnicos, graduações, especializações, mestrados e doutorados, poderão ser aceitos independentemente do prazo previsto no §3º, inciso b, desde que não tenham sido utilizados em progressões ou promoções anteriores e guardem pertinência com a área de atuação do servidor.</w:t>
      </w:r>
    </w:p>
    <w:p w14:paraId="0F4E8D2A" w14:textId="77777777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</w:p>
    <w:p w14:paraId="538A3316" w14:textId="5DBB52D6" w:rsidR="004B2056" w:rsidRPr="00CA081A" w:rsidRDefault="004B2056" w:rsidP="00CA081A">
      <w:pPr>
        <w:ind w:firstLine="1418"/>
        <w:jc w:val="both"/>
        <w:rPr>
          <w:rFonts w:eastAsia="PMingLiU"/>
          <w:color w:val="000000" w:themeColor="text1"/>
        </w:rPr>
      </w:pPr>
      <w:r w:rsidRPr="00CA081A">
        <w:rPr>
          <w:b/>
          <w:color w:val="000000" w:themeColor="text1"/>
        </w:rPr>
        <w:t xml:space="preserve">Art. </w:t>
      </w:r>
      <w:r w:rsidR="00CB0D9C" w:rsidRPr="00CA081A">
        <w:rPr>
          <w:b/>
          <w:color w:val="000000" w:themeColor="text1"/>
        </w:rPr>
        <w:t>3</w:t>
      </w:r>
      <w:r w:rsidRPr="00CA081A">
        <w:rPr>
          <w:b/>
          <w:color w:val="000000" w:themeColor="text1"/>
        </w:rPr>
        <w:t>7</w:t>
      </w:r>
      <w:r w:rsidRPr="00CA081A">
        <w:rPr>
          <w:color w:val="000000" w:themeColor="text1"/>
        </w:rPr>
        <w:t>. .................................................................................................................</w:t>
      </w:r>
    </w:p>
    <w:p w14:paraId="77D6C0FC" w14:textId="77777777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</w:p>
    <w:p w14:paraId="04B67644" w14:textId="77777777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 § 1º</w:t>
      </w:r>
      <w:r w:rsidRPr="00CA081A">
        <w:rPr>
          <w:rFonts w:eastAsia="Arial"/>
        </w:rPr>
        <w:t> Na hipótese indicada no Item IX deste artigo, configura desvio de função, qualquer situação em que servidor deixe de exercer totalmente as atribuições de seu cargo de origem.</w:t>
      </w:r>
    </w:p>
    <w:p w14:paraId="66E3C5C6" w14:textId="77777777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</w:p>
    <w:p w14:paraId="4B272A2D" w14:textId="77777777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§2º</w:t>
      </w:r>
      <w:r w:rsidRPr="00CA081A">
        <w:rPr>
          <w:rFonts w:eastAsia="Arial"/>
        </w:rPr>
        <w:t xml:space="preserve"> (Revogado);</w:t>
      </w:r>
    </w:p>
    <w:p w14:paraId="3889D3BE" w14:textId="77777777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</w:p>
    <w:p w14:paraId="1A8D003C" w14:textId="77777777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</w:rPr>
        <w:t>(...)</w:t>
      </w:r>
    </w:p>
    <w:p w14:paraId="2E4EB9F7" w14:textId="77777777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</w:p>
    <w:p w14:paraId="1D410D1A" w14:textId="77777777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§6º</w:t>
      </w:r>
      <w:r w:rsidRPr="00CA081A">
        <w:rPr>
          <w:rFonts w:eastAsia="Arial"/>
        </w:rPr>
        <w:t xml:space="preserve"> Não configura desvio de função a mera nomeação para o exercício de cargo comissionado ou função gratificada, ou ainda, a transferência para outra unidade da Administração Direta, Autárquica e Fundacional municipal, desde que, além das novas atribuições também desenvolva atividades inerentes ao seu cargo originário.</w:t>
      </w:r>
    </w:p>
    <w:p w14:paraId="63A06626" w14:textId="77777777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</w:p>
    <w:p w14:paraId="1B7BB97E" w14:textId="77777777" w:rsidR="004B2056" w:rsidRPr="00CA081A" w:rsidRDefault="004B2056" w:rsidP="00CA081A">
      <w:pPr>
        <w:ind w:firstLine="1418"/>
        <w:jc w:val="both"/>
        <w:textAlignment w:val="baseline"/>
        <w:rPr>
          <w:rFonts w:eastAsia="Arial"/>
        </w:rPr>
      </w:pPr>
      <w:r w:rsidRPr="00CA081A">
        <w:rPr>
          <w:rFonts w:eastAsia="Arial"/>
          <w:b/>
        </w:rPr>
        <w:t>§ 7º</w:t>
      </w:r>
      <w:r w:rsidRPr="00CA081A">
        <w:rPr>
          <w:rFonts w:eastAsia="Arial"/>
        </w:rPr>
        <w:t xml:space="preserve"> O desvio de função deve ser analisado com base nas atribuições do cargo e nas atividades efetivamente realizadas pelo </w:t>
      </w:r>
      <w:proofErr w:type="gramStart"/>
      <w:r w:rsidRPr="00CA081A">
        <w:rPr>
          <w:rFonts w:eastAsia="Arial"/>
        </w:rPr>
        <w:t>servidor.”</w:t>
      </w:r>
      <w:proofErr w:type="gramEnd"/>
    </w:p>
    <w:p w14:paraId="10B5C5DA" w14:textId="77777777" w:rsidR="004B2056" w:rsidRPr="00CA081A" w:rsidRDefault="004B2056" w:rsidP="00CA081A">
      <w:pPr>
        <w:ind w:firstLine="1418"/>
        <w:jc w:val="both"/>
        <w:textAlignment w:val="baseline"/>
        <w:rPr>
          <w:rFonts w:eastAsia="Arial"/>
          <w:b/>
        </w:rPr>
      </w:pPr>
    </w:p>
    <w:p w14:paraId="45473B30" w14:textId="35873B8C" w:rsidR="00030BD7" w:rsidRPr="00CA081A" w:rsidRDefault="00030BD7" w:rsidP="00CA081A">
      <w:pPr>
        <w:ind w:firstLine="1418"/>
        <w:rPr>
          <w:rFonts w:eastAsia="Arial"/>
          <w:color w:val="000000"/>
        </w:rPr>
      </w:pPr>
      <w:r w:rsidRPr="00CA081A">
        <w:rPr>
          <w:rFonts w:eastAsia="Arial"/>
          <w:b/>
          <w:bCs/>
          <w:color w:val="000000"/>
        </w:rPr>
        <w:t xml:space="preserve">Art. </w:t>
      </w:r>
      <w:r w:rsidR="004B2056" w:rsidRPr="00CA081A">
        <w:rPr>
          <w:rFonts w:eastAsia="Arial"/>
          <w:b/>
          <w:bCs/>
          <w:color w:val="000000"/>
        </w:rPr>
        <w:t>5</w:t>
      </w:r>
      <w:r w:rsidRPr="00CA081A">
        <w:rPr>
          <w:rFonts w:eastAsia="Arial"/>
          <w:b/>
          <w:bCs/>
          <w:color w:val="000000"/>
        </w:rPr>
        <w:t>º</w:t>
      </w:r>
      <w:r w:rsidRPr="00CA081A">
        <w:rPr>
          <w:rFonts w:eastAsia="Arial"/>
          <w:color w:val="000000"/>
        </w:rPr>
        <w:t xml:space="preserve"> Esta Lei Complementar entra em vigor na data de sua publicação.</w:t>
      </w:r>
    </w:p>
    <w:p w14:paraId="58B66B5D" w14:textId="77777777" w:rsidR="00030BD7" w:rsidRPr="00CA081A" w:rsidRDefault="00030BD7" w:rsidP="00CA081A">
      <w:pPr>
        <w:ind w:firstLine="1418"/>
        <w:textAlignment w:val="baseline"/>
        <w:rPr>
          <w:rFonts w:eastAsia="Arial"/>
          <w:color w:val="000000"/>
        </w:rPr>
      </w:pPr>
    </w:p>
    <w:p w14:paraId="6941C133" w14:textId="77777777" w:rsidR="00030BD7" w:rsidRPr="00CA081A" w:rsidRDefault="00030BD7" w:rsidP="00CA081A">
      <w:pPr>
        <w:ind w:firstLine="1418"/>
        <w:textAlignment w:val="baseline"/>
        <w:rPr>
          <w:rFonts w:eastAsia="Arial"/>
          <w:color w:val="000000"/>
        </w:rPr>
      </w:pPr>
    </w:p>
    <w:p w14:paraId="17BF7E6D" w14:textId="57B42031" w:rsidR="008A3CF4" w:rsidRPr="00CA081A" w:rsidRDefault="008A3CF4" w:rsidP="00CA081A">
      <w:pPr>
        <w:ind w:firstLine="1418"/>
        <w:jc w:val="both"/>
        <w:rPr>
          <w:iCs/>
        </w:rPr>
      </w:pPr>
      <w:r w:rsidRPr="00CA081A">
        <w:rPr>
          <w:iCs/>
        </w:rPr>
        <w:t xml:space="preserve">Sorriso, Estado de Mato Grosso, em </w:t>
      </w:r>
      <w:r w:rsidRPr="00CA081A">
        <w:rPr>
          <w:iCs/>
        </w:rPr>
        <w:t>23</w:t>
      </w:r>
      <w:r w:rsidRPr="00CA081A">
        <w:rPr>
          <w:iCs/>
        </w:rPr>
        <w:t xml:space="preserve"> de março de 2026.</w:t>
      </w:r>
    </w:p>
    <w:p w14:paraId="2861D7FE" w14:textId="77777777" w:rsidR="008A3CF4" w:rsidRPr="00CA081A" w:rsidRDefault="008A3CF4" w:rsidP="00CA081A">
      <w:pPr>
        <w:adjustRightInd w:val="0"/>
        <w:ind w:firstLine="5812"/>
        <w:rPr>
          <w:b/>
          <w:bCs/>
          <w:color w:val="000000"/>
        </w:rPr>
      </w:pPr>
      <w:r w:rsidRPr="00CA081A">
        <w:rPr>
          <w:b/>
          <w:bCs/>
          <w:color w:val="000000"/>
        </w:rPr>
        <w:t xml:space="preserve">         </w:t>
      </w:r>
    </w:p>
    <w:p w14:paraId="4CA7EE2F" w14:textId="77777777" w:rsidR="008A3CF4" w:rsidRPr="00CA081A" w:rsidRDefault="008A3CF4" w:rsidP="00CA081A">
      <w:pPr>
        <w:adjustRightInd w:val="0"/>
        <w:ind w:firstLine="5812"/>
        <w:rPr>
          <w:b/>
          <w:bCs/>
          <w:color w:val="000000"/>
        </w:rPr>
      </w:pPr>
    </w:p>
    <w:p w14:paraId="616962C7" w14:textId="77777777" w:rsidR="008A3CF4" w:rsidRPr="00CA081A" w:rsidRDefault="008A3CF4" w:rsidP="00CA081A">
      <w:pPr>
        <w:adjustRightInd w:val="0"/>
        <w:ind w:firstLine="5812"/>
        <w:rPr>
          <w:b/>
          <w:bCs/>
          <w:color w:val="000000"/>
        </w:rPr>
      </w:pPr>
    </w:p>
    <w:p w14:paraId="22FF671A" w14:textId="77777777" w:rsidR="008A3CF4" w:rsidRPr="00CA081A" w:rsidRDefault="008A3CF4" w:rsidP="00CA081A">
      <w:pPr>
        <w:adjustRightInd w:val="0"/>
        <w:ind w:firstLine="5812"/>
        <w:rPr>
          <w:b/>
          <w:bCs/>
          <w:color w:val="000000"/>
        </w:rPr>
      </w:pPr>
    </w:p>
    <w:p w14:paraId="3B231F1F" w14:textId="77777777" w:rsidR="008A3CF4" w:rsidRPr="00CA081A" w:rsidRDefault="008A3CF4" w:rsidP="00CA081A">
      <w:pPr>
        <w:adjustRightInd w:val="0"/>
        <w:ind w:left="560" w:firstLine="5812"/>
        <w:rPr>
          <w:bCs/>
          <w:color w:val="000000"/>
        </w:rPr>
      </w:pPr>
      <w:r w:rsidRPr="00CA081A">
        <w:rPr>
          <w:b/>
          <w:bCs/>
          <w:color w:val="000000"/>
        </w:rPr>
        <w:t>ALEI FERNANDES</w:t>
      </w:r>
      <w:r w:rsidRPr="00CA081A">
        <w:rPr>
          <w:bCs/>
          <w:color w:val="000000"/>
        </w:rPr>
        <w:t xml:space="preserve"> </w:t>
      </w:r>
    </w:p>
    <w:p w14:paraId="4D6DB776" w14:textId="77777777" w:rsidR="008A3CF4" w:rsidRPr="00CA081A" w:rsidRDefault="008A3CF4" w:rsidP="00CA081A">
      <w:pPr>
        <w:adjustRightInd w:val="0"/>
        <w:ind w:left="560" w:firstLine="5812"/>
        <w:rPr>
          <w:b/>
          <w:bCs/>
          <w:color w:val="000000"/>
        </w:rPr>
      </w:pPr>
      <w:r w:rsidRPr="00CA081A">
        <w:rPr>
          <w:bCs/>
          <w:color w:val="000000"/>
        </w:rPr>
        <w:t xml:space="preserve">   Prefeito Municipal           </w:t>
      </w:r>
    </w:p>
    <w:p w14:paraId="0524037C" w14:textId="77777777" w:rsidR="008A3CF4" w:rsidRPr="00CA081A" w:rsidRDefault="008A3CF4" w:rsidP="00CA081A">
      <w:pPr>
        <w:adjustRightInd w:val="0"/>
        <w:rPr>
          <w:b/>
          <w:bCs/>
          <w:color w:val="000000"/>
        </w:rPr>
      </w:pPr>
      <w:r w:rsidRPr="00CA081A">
        <w:rPr>
          <w:b/>
          <w:bCs/>
          <w:color w:val="000000"/>
        </w:rPr>
        <w:t xml:space="preserve">BRUNO EDUARDO PECINELLI DELGADO </w:t>
      </w:r>
      <w:r w:rsidRPr="00CA081A">
        <w:rPr>
          <w:b/>
          <w:bCs/>
          <w:color w:val="000000"/>
        </w:rPr>
        <w:tab/>
      </w:r>
      <w:r w:rsidRPr="00CA081A">
        <w:rPr>
          <w:b/>
          <w:bCs/>
          <w:color w:val="000000"/>
        </w:rPr>
        <w:tab/>
      </w:r>
      <w:r w:rsidRPr="00CA081A">
        <w:rPr>
          <w:b/>
          <w:bCs/>
          <w:color w:val="000000"/>
        </w:rPr>
        <w:tab/>
        <w:t xml:space="preserve">    </w:t>
      </w:r>
    </w:p>
    <w:p w14:paraId="51A668D0" w14:textId="77777777" w:rsidR="008A3CF4" w:rsidRPr="00CA081A" w:rsidRDefault="008A3CF4" w:rsidP="00CA081A">
      <w:r w:rsidRPr="00CA081A">
        <w:rPr>
          <w:color w:val="000000"/>
        </w:rPr>
        <w:t xml:space="preserve">         Secretário Municipal de Administração</w:t>
      </w:r>
    </w:p>
    <w:p w14:paraId="70A8A970" w14:textId="5FBAE318" w:rsidR="001023FB" w:rsidRDefault="001023FB" w:rsidP="00CA081A"/>
    <w:p w14:paraId="1FA6ECC8" w14:textId="61D67F0F" w:rsidR="00CA081A" w:rsidRDefault="00CA081A" w:rsidP="00CA081A"/>
    <w:p w14:paraId="7CD54A72" w14:textId="1D95FC1D" w:rsidR="00CA081A" w:rsidRDefault="00CA081A" w:rsidP="00CA081A"/>
    <w:p w14:paraId="1DF5B263" w14:textId="75C94F3C" w:rsidR="00CA081A" w:rsidRDefault="00CA081A" w:rsidP="00CA081A"/>
    <w:p w14:paraId="46F1B7BE" w14:textId="4222D31C" w:rsidR="00CA081A" w:rsidRDefault="00CA081A" w:rsidP="00CA081A"/>
    <w:p w14:paraId="4D099FE7" w14:textId="05484CBE" w:rsidR="00CA081A" w:rsidRDefault="00CA081A" w:rsidP="00CA081A"/>
    <w:p w14:paraId="41B4D71C" w14:textId="51AD2EF4" w:rsidR="00CA081A" w:rsidRDefault="00CA081A" w:rsidP="00CA081A"/>
    <w:p w14:paraId="7BEF220D" w14:textId="1FFA3DA4" w:rsidR="00CA081A" w:rsidRDefault="00CA081A" w:rsidP="00CA081A"/>
    <w:p w14:paraId="5E1B8C3A" w14:textId="61DF6A21" w:rsidR="00CA081A" w:rsidRDefault="00CA081A" w:rsidP="00CA081A"/>
    <w:p w14:paraId="52F764C1" w14:textId="77E1281C" w:rsidR="00CA081A" w:rsidRDefault="00CA081A" w:rsidP="00CA081A"/>
    <w:p w14:paraId="13CCBEDF" w14:textId="30C33EDD" w:rsidR="00CA081A" w:rsidRDefault="00CA081A" w:rsidP="00CA081A"/>
    <w:p w14:paraId="4D4F738F" w14:textId="7C111587" w:rsidR="00CA081A" w:rsidRDefault="00CA081A" w:rsidP="00CA081A"/>
    <w:p w14:paraId="3673E16B" w14:textId="169B85A3" w:rsidR="00CA081A" w:rsidRDefault="00CA081A" w:rsidP="00CA081A"/>
    <w:p w14:paraId="676287CB" w14:textId="4A005ED2" w:rsidR="00CA081A" w:rsidRDefault="00CA081A" w:rsidP="00CA081A"/>
    <w:p w14:paraId="0B428398" w14:textId="11BF27E0" w:rsidR="00CA081A" w:rsidRDefault="00CA081A" w:rsidP="00CA081A"/>
    <w:p w14:paraId="6D69850E" w14:textId="04224B46" w:rsidR="00CA081A" w:rsidRDefault="00CA081A" w:rsidP="00CA081A"/>
    <w:p w14:paraId="32AE602C" w14:textId="66AC441C" w:rsidR="00CA081A" w:rsidRDefault="00CA081A" w:rsidP="00CA081A"/>
    <w:p w14:paraId="79BDD4FD" w14:textId="02A0E08E" w:rsidR="00CA081A" w:rsidRDefault="00CA081A" w:rsidP="00CA081A"/>
    <w:p w14:paraId="70D357C3" w14:textId="76DACC2D" w:rsidR="00CA081A" w:rsidRDefault="00CA081A" w:rsidP="00CA081A"/>
    <w:p w14:paraId="42D7C053" w14:textId="69FA123B" w:rsidR="00CA081A" w:rsidRDefault="00CA081A" w:rsidP="00CA081A"/>
    <w:p w14:paraId="399A58B8" w14:textId="714A6B46" w:rsidR="00CA081A" w:rsidRDefault="00CA081A" w:rsidP="00CA081A"/>
    <w:p w14:paraId="4F0253DD" w14:textId="275833CE" w:rsidR="00CA081A" w:rsidRDefault="00CA081A" w:rsidP="00CA081A"/>
    <w:p w14:paraId="7DC83C99" w14:textId="05C9C6D3" w:rsidR="00CA081A" w:rsidRDefault="00CA081A" w:rsidP="00CA081A"/>
    <w:p w14:paraId="28DD4F44" w14:textId="4D36A989" w:rsidR="00CA081A" w:rsidRDefault="00CA081A" w:rsidP="00CA081A"/>
    <w:p w14:paraId="4512D1B3" w14:textId="7E038D33" w:rsidR="00CA081A" w:rsidRDefault="00CA081A" w:rsidP="00CA081A"/>
    <w:p w14:paraId="694CE12D" w14:textId="45675ABB" w:rsidR="00CA081A" w:rsidRDefault="00CA081A" w:rsidP="00CA081A"/>
    <w:p w14:paraId="29109A8A" w14:textId="7D057B78" w:rsidR="00CA081A" w:rsidRDefault="00CA081A" w:rsidP="00CA081A"/>
    <w:p w14:paraId="565E948B" w14:textId="05756C58" w:rsidR="00CA081A" w:rsidRDefault="00CA081A" w:rsidP="00CA081A"/>
    <w:p w14:paraId="04CA2944" w14:textId="5A9DB925" w:rsidR="00CA081A" w:rsidRDefault="00CA081A" w:rsidP="00CA081A"/>
    <w:p w14:paraId="6FD4970E" w14:textId="49B3F364" w:rsidR="00CA081A" w:rsidRPr="00CA081A" w:rsidRDefault="00CA081A" w:rsidP="00CA081A"/>
    <w:p w14:paraId="178D0E2F" w14:textId="058ABCE4" w:rsidR="00CA081A" w:rsidRPr="00CA081A" w:rsidRDefault="00CA081A" w:rsidP="00CA081A">
      <w:pPr>
        <w:ind w:left="2694"/>
        <w:rPr>
          <w:rFonts w:eastAsia="Arial"/>
          <w:bCs/>
        </w:rPr>
      </w:pPr>
      <w:bookmarkStart w:id="0" w:name="_GoBack"/>
      <w:bookmarkEnd w:id="0"/>
      <w:r w:rsidRPr="00CA081A">
        <w:rPr>
          <w:rFonts w:eastAsia="Arial"/>
          <w:bCs/>
        </w:rPr>
        <w:t xml:space="preserve">LEI COMPLEMENTAR N° </w:t>
      </w:r>
      <w:r w:rsidRPr="00CA081A">
        <w:t>486, DE 23 DE MARÇO DE 2026</w:t>
      </w:r>
    </w:p>
    <w:sectPr w:rsidR="00CA081A" w:rsidRPr="00CA081A" w:rsidSect="00CA081A">
      <w:headerReference w:type="even" r:id="rId7"/>
      <w:headerReference w:type="default" r:id="rId8"/>
      <w:headerReference w:type="first" r:id="rId9"/>
      <w:pgSz w:w="11906" w:h="16838"/>
      <w:pgMar w:top="2836" w:right="1080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CA081A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CA081A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4.1pt;margin-top:-135.1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CA081A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E63"/>
    <w:multiLevelType w:val="hybridMultilevel"/>
    <w:tmpl w:val="E552FCAA"/>
    <w:lvl w:ilvl="0" w:tplc="0EF2B226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A603873"/>
    <w:multiLevelType w:val="hybridMultilevel"/>
    <w:tmpl w:val="A3DA4DA2"/>
    <w:lvl w:ilvl="0" w:tplc="C49C4564">
      <w:start w:val="1"/>
      <w:numFmt w:val="upperRoman"/>
      <w:suff w:val="space"/>
      <w:lvlText w:val="%1 - "/>
      <w:lvlJc w:val="left"/>
      <w:pPr>
        <w:ind w:left="1" w:firstLine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E8E0939"/>
    <w:multiLevelType w:val="multilevel"/>
    <w:tmpl w:val="72FE0DDA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ascii="Calibri" w:hAnsi="Calibri" w:hint="default"/>
        <w:b w:val="0"/>
        <w:i w:val="0"/>
        <w:color w:val="000000"/>
        <w:spacing w:val="0"/>
        <w:w w:val="100"/>
        <w:sz w:val="24"/>
        <w:vertAlign w:val="baseline"/>
        <w:lang w:val="pt-BR"/>
      </w:rPr>
    </w:lvl>
    <w:lvl w:ilvl="1">
      <w:start w:val="1"/>
      <w:numFmt w:val="lowerLetter"/>
      <w:pStyle w:val="alinea"/>
      <w:suff w:val="space"/>
      <w:lvlText w:val="%2)"/>
      <w:lvlJc w:val="left"/>
      <w:pPr>
        <w:ind w:left="142" w:firstLine="1134"/>
      </w:pPr>
      <w:rPr>
        <w:rFonts w:hint="default"/>
        <w:color w:val="auto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3B3F2E"/>
    <w:multiLevelType w:val="hybridMultilevel"/>
    <w:tmpl w:val="F3080FD4"/>
    <w:lvl w:ilvl="0" w:tplc="F982790A">
      <w:start w:val="5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D1141C9"/>
    <w:multiLevelType w:val="hybridMultilevel"/>
    <w:tmpl w:val="1522373A"/>
    <w:lvl w:ilvl="0" w:tplc="2724F34A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7CA1B89"/>
    <w:multiLevelType w:val="hybridMultilevel"/>
    <w:tmpl w:val="D8EC6662"/>
    <w:lvl w:ilvl="0" w:tplc="4EB4E7B4">
      <w:start w:val="1"/>
      <w:numFmt w:val="decimal"/>
      <w:pStyle w:val="art162"/>
      <w:lvlText w:val="Art. %1°  "/>
      <w:lvlJc w:val="left"/>
      <w:pPr>
        <w:ind w:left="135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A72495"/>
    <w:multiLevelType w:val="hybridMultilevel"/>
    <w:tmpl w:val="04A21984"/>
    <w:lvl w:ilvl="0" w:tplc="575AAA86">
      <w:start w:val="10"/>
      <w:numFmt w:val="decimal"/>
      <w:pStyle w:val="artapartirdo162"/>
      <w:lvlText w:val="Art. %1. "/>
      <w:lvlJc w:val="left"/>
      <w:pPr>
        <w:ind w:left="2204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6EB1ED8"/>
    <w:multiLevelType w:val="hybridMultilevel"/>
    <w:tmpl w:val="D87474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33274"/>
    <w:multiLevelType w:val="hybridMultilevel"/>
    <w:tmpl w:val="0C520512"/>
    <w:lvl w:ilvl="0" w:tplc="4A2A99E2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D6D0FA7"/>
    <w:multiLevelType w:val="hybridMultilevel"/>
    <w:tmpl w:val="27925F08"/>
    <w:lvl w:ilvl="0" w:tplc="F7B8F6B6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AA93593"/>
    <w:multiLevelType w:val="hybridMultilevel"/>
    <w:tmpl w:val="B3869FE2"/>
    <w:lvl w:ilvl="0" w:tplc="3B4666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A985D1A"/>
    <w:multiLevelType w:val="hybridMultilevel"/>
    <w:tmpl w:val="C012FE28"/>
    <w:lvl w:ilvl="0" w:tplc="6B7AC2E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7"/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30BD7"/>
    <w:rsid w:val="001023FB"/>
    <w:rsid w:val="00160E48"/>
    <w:rsid w:val="001F062C"/>
    <w:rsid w:val="002E35C7"/>
    <w:rsid w:val="003100B7"/>
    <w:rsid w:val="00331693"/>
    <w:rsid w:val="0036616C"/>
    <w:rsid w:val="00487484"/>
    <w:rsid w:val="00491601"/>
    <w:rsid w:val="00493712"/>
    <w:rsid w:val="004B2056"/>
    <w:rsid w:val="00526203"/>
    <w:rsid w:val="00533563"/>
    <w:rsid w:val="005476C3"/>
    <w:rsid w:val="00644497"/>
    <w:rsid w:val="006F1A5A"/>
    <w:rsid w:val="007F4FAF"/>
    <w:rsid w:val="008317AD"/>
    <w:rsid w:val="008653D3"/>
    <w:rsid w:val="008A2D18"/>
    <w:rsid w:val="008A3CF4"/>
    <w:rsid w:val="008A4C0E"/>
    <w:rsid w:val="0096376E"/>
    <w:rsid w:val="009A1664"/>
    <w:rsid w:val="00A14B14"/>
    <w:rsid w:val="00A469F7"/>
    <w:rsid w:val="00A77B8A"/>
    <w:rsid w:val="00AC72EF"/>
    <w:rsid w:val="00B012DA"/>
    <w:rsid w:val="00B20882"/>
    <w:rsid w:val="00BA0814"/>
    <w:rsid w:val="00BD1EE0"/>
    <w:rsid w:val="00BF70B9"/>
    <w:rsid w:val="00CA081A"/>
    <w:rsid w:val="00CB0D9C"/>
    <w:rsid w:val="00CE04E6"/>
    <w:rsid w:val="00D25096"/>
    <w:rsid w:val="00D45FEE"/>
    <w:rsid w:val="00D90789"/>
    <w:rsid w:val="00DA5BFE"/>
    <w:rsid w:val="00DB7AFE"/>
    <w:rsid w:val="00DF168D"/>
    <w:rsid w:val="00E204AC"/>
    <w:rsid w:val="00E75B85"/>
    <w:rsid w:val="00EB5CD5"/>
    <w:rsid w:val="00EF4E98"/>
    <w:rsid w:val="00F6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100B7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inciso">
    <w:name w:val="inciso"/>
    <w:basedOn w:val="PargrafodaLista"/>
    <w:next w:val="Normal"/>
    <w:link w:val="incisoChar"/>
    <w:autoRedefine/>
    <w:qFormat/>
    <w:rsid w:val="00D25096"/>
    <w:pPr>
      <w:ind w:left="0" w:firstLine="1418"/>
      <w:jc w:val="both"/>
      <w:textAlignment w:val="baseline"/>
    </w:pPr>
    <w:rPr>
      <w:rFonts w:eastAsia="Arial"/>
      <w:color w:val="000000" w:themeColor="text1"/>
      <w:sz w:val="24"/>
      <w:szCs w:val="24"/>
      <w:lang w:val="pt-BR"/>
    </w:rPr>
  </w:style>
  <w:style w:type="character" w:customStyle="1" w:styleId="incisoChar">
    <w:name w:val="inciso Char"/>
    <w:basedOn w:val="Fontepargpadro"/>
    <w:link w:val="inciso"/>
    <w:rsid w:val="00D25096"/>
    <w:rPr>
      <w:rFonts w:ascii="Times New Roman" w:eastAsia="Arial" w:hAnsi="Times New Roman" w:cs="Times New Roman"/>
      <w:color w:val="000000" w:themeColor="text1"/>
      <w:sz w:val="24"/>
      <w:szCs w:val="24"/>
    </w:rPr>
  </w:style>
  <w:style w:type="paragraph" w:customStyle="1" w:styleId="alinea">
    <w:name w:val="alinea"/>
    <w:basedOn w:val="inciso"/>
    <w:next w:val="Normal"/>
    <w:link w:val="alineaChar"/>
    <w:autoRedefine/>
    <w:rsid w:val="00D25096"/>
    <w:pPr>
      <w:numPr>
        <w:ilvl w:val="1"/>
        <w:numId w:val="11"/>
      </w:numPr>
      <w:ind w:left="0" w:firstLine="1418"/>
    </w:pPr>
  </w:style>
  <w:style w:type="character" w:customStyle="1" w:styleId="alineaChar">
    <w:name w:val="alinea Char"/>
    <w:basedOn w:val="Fontepargpadro"/>
    <w:link w:val="alinea"/>
    <w:rsid w:val="00D25096"/>
    <w:rPr>
      <w:rFonts w:ascii="Times New Roman" w:eastAsia="Arial" w:hAnsi="Times New Roman" w:cs="Times New Roman"/>
      <w:color w:val="000000" w:themeColor="text1"/>
      <w:sz w:val="24"/>
      <w:szCs w:val="24"/>
    </w:rPr>
  </w:style>
  <w:style w:type="paragraph" w:customStyle="1" w:styleId="Normal1">
    <w:name w:val="Normal1"/>
    <w:basedOn w:val="Normal"/>
    <w:link w:val="normalChar"/>
    <w:autoRedefine/>
    <w:qFormat/>
    <w:rsid w:val="00D25096"/>
    <w:pPr>
      <w:spacing w:after="120"/>
      <w:ind w:firstLine="1134"/>
      <w:jc w:val="both"/>
      <w:textAlignment w:val="baseline"/>
    </w:pPr>
    <w:rPr>
      <w:rFonts w:asciiTheme="minorHAnsi" w:eastAsia="Arial" w:hAnsiTheme="minorHAnsi" w:cstheme="minorHAnsi"/>
      <w:color w:val="000000"/>
      <w:lang w:eastAsia="en-US"/>
    </w:rPr>
  </w:style>
  <w:style w:type="character" w:customStyle="1" w:styleId="normalChar">
    <w:name w:val="normal Char"/>
    <w:basedOn w:val="Fontepargpadro"/>
    <w:link w:val="Normal1"/>
    <w:rsid w:val="00D25096"/>
    <w:rPr>
      <w:rFonts w:eastAsia="Arial" w:cstheme="minorHAnsi"/>
      <w:color w:val="000000"/>
      <w:sz w:val="24"/>
      <w:szCs w:val="24"/>
    </w:rPr>
  </w:style>
  <w:style w:type="paragraph" w:customStyle="1" w:styleId="art162">
    <w:name w:val="art. 162"/>
    <w:basedOn w:val="Normal1"/>
    <w:link w:val="art162Char"/>
    <w:qFormat/>
    <w:rsid w:val="00D25096"/>
    <w:pPr>
      <w:numPr>
        <w:numId w:val="12"/>
      </w:numPr>
      <w:tabs>
        <w:tab w:val="left" w:pos="1276"/>
      </w:tabs>
    </w:pPr>
  </w:style>
  <w:style w:type="paragraph" w:customStyle="1" w:styleId="artapartirdo162">
    <w:name w:val="art. a partir do 162"/>
    <w:basedOn w:val="Normal1"/>
    <w:next w:val="art162"/>
    <w:link w:val="artapartirdo162Char"/>
    <w:qFormat/>
    <w:rsid w:val="00D25096"/>
    <w:pPr>
      <w:numPr>
        <w:numId w:val="13"/>
      </w:numPr>
      <w:tabs>
        <w:tab w:val="left" w:pos="357"/>
      </w:tabs>
      <w:ind w:left="0" w:firstLine="1134"/>
    </w:pPr>
  </w:style>
  <w:style w:type="character" w:customStyle="1" w:styleId="art162Char">
    <w:name w:val="art. 162 Char"/>
    <w:basedOn w:val="Fontepargpadro"/>
    <w:link w:val="art162"/>
    <w:rsid w:val="00D25096"/>
    <w:rPr>
      <w:rFonts w:eastAsia="Arial" w:cstheme="minorHAnsi"/>
      <w:color w:val="000000"/>
      <w:sz w:val="24"/>
      <w:szCs w:val="24"/>
    </w:rPr>
  </w:style>
  <w:style w:type="character" w:customStyle="1" w:styleId="artapartirdo162Char">
    <w:name w:val="art. a partir do 162 Char"/>
    <w:basedOn w:val="normalChar"/>
    <w:link w:val="artapartirdo162"/>
    <w:rsid w:val="00D25096"/>
    <w:rPr>
      <w:rFonts w:eastAsia="Arial" w:cs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1615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2025-05-16T14:17:00Z</cp:lastPrinted>
  <dcterms:created xsi:type="dcterms:W3CDTF">2026-03-23T14:35:00Z</dcterms:created>
  <dcterms:modified xsi:type="dcterms:W3CDTF">2026-03-23T14:37:00Z</dcterms:modified>
</cp:coreProperties>
</file>