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6D733365" w:rsidR="002C78C3" w:rsidRPr="00AA3AF2" w:rsidRDefault="00000000" w:rsidP="00AA3AF2">
      <w:pPr>
        <w:pStyle w:val="Ttulo6"/>
        <w:keepNext/>
        <w:tabs>
          <w:tab w:val="left" w:pos="0"/>
        </w:tabs>
        <w:spacing w:line="276" w:lineRule="auto"/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A3AF2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AA3AF2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153</w:t>
      </w:r>
      <w:r w:rsidR="00517E5C" w:rsidRPr="00AA3AF2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F2622B" w:rsidRPr="00AA3AF2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51F36616" w14:textId="77777777" w:rsidR="004C1E01" w:rsidRPr="00AA3AF2" w:rsidRDefault="004C1E01" w:rsidP="00AA3AF2">
      <w:pPr>
        <w:spacing w:line="276" w:lineRule="auto"/>
        <w:rPr>
          <w:sz w:val="24"/>
          <w:szCs w:val="24"/>
        </w:rPr>
      </w:pPr>
    </w:p>
    <w:p w14:paraId="40FCE444" w14:textId="77777777" w:rsidR="002C78C3" w:rsidRPr="00AA3AF2" w:rsidRDefault="002C78C3" w:rsidP="00AA3AF2">
      <w:pPr>
        <w:spacing w:line="276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56528B" w14:textId="77777777" w:rsidR="001F7EC2" w:rsidRPr="00AA3AF2" w:rsidRDefault="001F7EC2" w:rsidP="00AA3AF2">
      <w:pPr>
        <w:spacing w:line="276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E56D8B" w14:textId="0F5C0697" w:rsidR="004C1E01" w:rsidRPr="00AA3AF2" w:rsidRDefault="00000000" w:rsidP="00AA3AF2">
      <w:pPr>
        <w:spacing w:line="276" w:lineRule="auto"/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3AF2">
        <w:rPr>
          <w:rFonts w:ascii="Times New Roman" w:hAnsi="Times New Roman" w:cs="Times New Roman"/>
          <w:b/>
          <w:bCs/>
          <w:sz w:val="24"/>
          <w:szCs w:val="24"/>
        </w:rPr>
        <w:t xml:space="preserve">RODRIGO MATTERAZZI </w:t>
      </w:r>
      <w:r w:rsidR="006173F0" w:rsidRPr="00AA3AF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A3AF2">
        <w:rPr>
          <w:rFonts w:ascii="Times New Roman" w:hAnsi="Times New Roman" w:cs="Times New Roman"/>
          <w:b/>
          <w:bCs/>
          <w:sz w:val="24"/>
          <w:szCs w:val="24"/>
        </w:rPr>
        <w:t xml:space="preserve"> Republicanos</w:t>
      </w:r>
      <w:r w:rsidR="00F2622B" w:rsidRPr="00AA3AF2">
        <w:rPr>
          <w:rFonts w:ascii="Times New Roman" w:hAnsi="Times New Roman" w:cs="Times New Roman"/>
          <w:sz w:val="24"/>
          <w:szCs w:val="24"/>
        </w:rPr>
        <w:t>,</w:t>
      </w:r>
      <w:r w:rsidR="007156CD" w:rsidRPr="00AA3AF2">
        <w:rPr>
          <w:rFonts w:ascii="Times New Roman" w:hAnsi="Times New Roman" w:cs="Times New Roman"/>
          <w:sz w:val="24"/>
          <w:szCs w:val="24"/>
        </w:rPr>
        <w:t xml:space="preserve"> </w:t>
      </w:r>
      <w:r w:rsidR="007156CD" w:rsidRPr="00AA3AF2">
        <w:rPr>
          <w:rFonts w:ascii="Times New Roman" w:hAnsi="Times New Roman" w:cs="Times New Roman"/>
          <w:b/>
          <w:bCs/>
          <w:sz w:val="24"/>
          <w:szCs w:val="24"/>
        </w:rPr>
        <w:t>DIOGO KRIGUER – PSDB, EMERSON FARIAS – PL, ADIR CUNICO – NO</w:t>
      </w:r>
      <w:r w:rsidR="00476F97" w:rsidRPr="00AA3AF2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156CD" w:rsidRPr="00AA3AF2">
        <w:rPr>
          <w:rFonts w:ascii="Times New Roman" w:hAnsi="Times New Roman" w:cs="Times New Roman"/>
          <w:b/>
          <w:bCs/>
          <w:sz w:val="24"/>
          <w:szCs w:val="24"/>
        </w:rPr>
        <w:t>O, BRENDO BRAGA – Republicanos, GRINGO DO BARREIRO – PL, TOCO BAGGIO – PSDB, DARCI GONÇALVES – MDB, PROFª SILVANA PERIN – MDB, WANDERLEY PAULO – PP e JANE DELALIBERA - PL</w:t>
      </w:r>
      <w:r w:rsidR="0038626C" w:rsidRPr="00AA3AF2">
        <w:rPr>
          <w:rFonts w:ascii="Times New Roman" w:hAnsi="Times New Roman" w:cs="Times New Roman"/>
          <w:sz w:val="24"/>
          <w:szCs w:val="24"/>
        </w:rPr>
        <w:t xml:space="preserve"> </w:t>
      </w:r>
      <w:r w:rsidR="00FE4523" w:rsidRPr="00AA3AF2">
        <w:rPr>
          <w:rFonts w:ascii="Times New Roman" w:hAnsi="Times New Roman" w:cs="Times New Roman"/>
          <w:bCs/>
          <w:sz w:val="24"/>
          <w:szCs w:val="24"/>
        </w:rPr>
        <w:t>vereador</w:t>
      </w:r>
      <w:r w:rsidR="007156CD" w:rsidRPr="00AA3AF2">
        <w:rPr>
          <w:rFonts w:ascii="Times New Roman" w:hAnsi="Times New Roman" w:cs="Times New Roman"/>
          <w:bCs/>
          <w:sz w:val="24"/>
          <w:szCs w:val="24"/>
        </w:rPr>
        <w:t>es abaixo assinados,</w:t>
      </w:r>
      <w:r w:rsidR="0038626C" w:rsidRPr="00AA3A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AA3AF2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 w:rsidRPr="00AA3A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r w:rsidR="00317DA1" w:rsidRPr="00AA3AF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AA3AF2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AA3AF2">
        <w:rPr>
          <w:rFonts w:ascii="Times New Roman" w:hAnsi="Times New Roman" w:cs="Times New Roman"/>
          <w:color w:val="000000"/>
          <w:sz w:val="24"/>
          <w:szCs w:val="24"/>
        </w:rPr>
        <w:t>s.</w:t>
      </w:r>
      <w:r w:rsidR="002C78C3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AA3AF2">
        <w:rPr>
          <w:rFonts w:ascii="Times New Roman" w:hAnsi="Times New Roman" w:cs="Times New Roman"/>
          <w:color w:val="000000"/>
          <w:sz w:val="24"/>
          <w:szCs w:val="24"/>
        </w:rPr>
        <w:t>REQUE</w:t>
      </w:r>
      <w:r w:rsidR="0097293D" w:rsidRPr="00AA3AF2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45633" w:rsidRPr="00AA3AF2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38626C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8C3" w:rsidRPr="00AA3AF2">
        <w:rPr>
          <w:rFonts w:ascii="Times New Roman" w:hAnsi="Times New Roman" w:cs="Times New Roman"/>
          <w:color w:val="000000"/>
          <w:sz w:val="24"/>
          <w:szCs w:val="24"/>
        </w:rPr>
        <w:t>à Mesa que este Expediente seja encaminhado</w:t>
      </w:r>
      <w:r w:rsidR="0097293D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4675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ao </w:t>
      </w:r>
      <w:r w:rsidR="009B7DC3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Exmo. </w:t>
      </w:r>
      <w:r w:rsidR="00C34B77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Senhor </w:t>
      </w:r>
      <w:r w:rsidR="001F7EC2" w:rsidRPr="00AA3AF2">
        <w:rPr>
          <w:rFonts w:ascii="Times New Roman" w:hAnsi="Times New Roman" w:cs="Times New Roman"/>
          <w:color w:val="000000"/>
          <w:sz w:val="24"/>
          <w:szCs w:val="24"/>
        </w:rPr>
        <w:t>Alei Fernandes, Prefeito Municipal</w:t>
      </w:r>
      <w:r w:rsidR="002A0CAB" w:rsidRPr="00AA3A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65291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com cópia ao Exmo. Senhor Gentil Antônio, Diretor-Presidente da Concessionária APASI, ao Exmo. Senhor Clovis Picolo Filho, Secretário Municipal de Agricultura e Meio Ambiente e ao Exmo. Senhor Milton Geller, Secretário de Infraestrutura, Transporte e Saneamento</w:t>
      </w:r>
      <w:r w:rsidR="00476F97" w:rsidRPr="00AA3A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65291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6096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AA3AF2">
        <w:rPr>
          <w:rFonts w:ascii="Times New Roman" w:hAnsi="Times New Roman" w:cs="Times New Roman"/>
          <w:b/>
          <w:color w:val="000000"/>
          <w:sz w:val="24"/>
          <w:szCs w:val="24"/>
        </w:rPr>
        <w:t>requer</w:t>
      </w:r>
      <w:r w:rsidRPr="00AA3A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r w:rsidR="00C45633" w:rsidRPr="00AA3AF2">
        <w:rPr>
          <w:rFonts w:ascii="Times New Roman" w:hAnsi="Times New Roman" w:cs="Times New Roman"/>
          <w:b/>
          <w:color w:val="000000"/>
          <w:sz w:val="24"/>
          <w:szCs w:val="24"/>
        </w:rPr>
        <w:t>solicitação de estudo e abertura de traçado alternativo de acesso entre a estrada vicinal e a rodovia, acompanhamento do Processo nº 1013537-35.2026.8.11.0040 e instalação de sinalização das rotas alternativas.</w:t>
      </w:r>
    </w:p>
    <w:p w14:paraId="6560BF79" w14:textId="77777777" w:rsidR="00C45633" w:rsidRPr="00AA3AF2" w:rsidRDefault="00C45633" w:rsidP="00AA3AF2">
      <w:pPr>
        <w:spacing w:line="276" w:lineRule="auto"/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FFDD2E" w14:textId="77777777" w:rsidR="004C1E01" w:rsidRPr="00AA3AF2" w:rsidRDefault="004C1E01" w:rsidP="00AA3AF2">
      <w:pPr>
        <w:spacing w:line="276" w:lineRule="auto"/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AA3AF2" w:rsidRDefault="00000000" w:rsidP="00AA3AF2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AA3AF2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AA3AF2" w:rsidRDefault="00656EA9" w:rsidP="00AA3AF2">
      <w:pPr>
        <w:spacing w:line="276" w:lineRule="auto"/>
        <w:rPr>
          <w:sz w:val="24"/>
          <w:szCs w:val="24"/>
        </w:rPr>
      </w:pPr>
    </w:p>
    <w:p w14:paraId="62B5EC42" w14:textId="6BA3BDE7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a estrada vicinal em questão é via essencial ao escoamento da produção agropecuária da região e ao deslocamento diário de produtores rurais, trabalhadores, estudantes e famílias que dependem da conexão com a rodovia para acessar serviços básicos;</w:t>
      </w:r>
    </w:p>
    <w:p w14:paraId="64BC2D2D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8358FC4" w14:textId="26A35427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a atual configuração do acesso entre a estrada vicinal e a rodovia apresenta risco concreto à segurança dos motoristas, expondo os usuários a possíveis acidentes e comprometendo a trafegabilidade segura do local;</w:t>
      </w:r>
    </w:p>
    <w:p w14:paraId="741BF4B0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9D952B5" w14:textId="4DB2E5D7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o agronegócio é a principal base da economia do nosso município e que o isolamento dos produtores rurais acarreta prejuízos diretos ao transporte de insumos e grãos, à logística da produção e à própria subsistência das famílias do campo;</w:t>
      </w:r>
    </w:p>
    <w:p w14:paraId="2AF2DC9A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146B102" w14:textId="19A2FAD7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compete ao Município, nos termos do art. 30 da Constituição Federal, legislar sobre assuntos de interesse local e organizar e prestar os serviços públicos de interesse local, nos quais se inserem a manutenção e a segurança das vias municipais;</w:t>
      </w:r>
    </w:p>
    <w:p w14:paraId="71CC305E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0018FF6" w14:textId="20CA58B0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o Código de Trânsito Brasileiro (Lei nº 9.503/1997) atribui aos órgãos e entidades executivos de trânsito e rodoviários o dever de garantir a segurança viária, inclusive mediante a adequada sinalização das vias;</w:t>
      </w:r>
    </w:p>
    <w:p w14:paraId="5EBB21B0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6FCC256" w14:textId="1286EA30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a tramitação do Processo nº 1013537-35.2026.8.11.0040, cujo objeto guarda relação com a questão ora tratada, sendo imprescindível que o Município acompanhe ativamente os autos e adote as medidas cabíveis para a defesa do interesse público;</w:t>
      </w:r>
    </w:p>
    <w:p w14:paraId="72C85AD9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9B81B5C" w14:textId="219294F3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a eventual necessidade de área adicional para a implantação de novo acesso pode ser equacionada por meio de instrumentos jurídicos como a servidão de passagem ou a desapropriação amigável, previstos na legislação civil e no Decreto-Lei nº 3.365/1941, que permitem conciliar o interesse coletivo com o direito dos proprietários, mediante justa e prévia indenização;</w:t>
      </w:r>
    </w:p>
    <w:p w14:paraId="6C8C00A3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6FE6227" w14:textId="48BA377B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que a ausência de sinalização indicativa prévia das rotas alternativas gera desorientação aos motoristas, transtornos ao tráfego local e aumento do risco de acidentes, sobretudo para condutores que não conhecem a região;</w:t>
      </w:r>
    </w:p>
    <w:p w14:paraId="196B2F3E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80841D1" w14:textId="360CF3BA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a necessidade de atuação coordenada entre o Poder Público Municipal e a Concessionária APASI, responsável pela rodovia, a fim de que as soluções adotadas sejam eficazes, seguras e tecnicamente integradas;</w:t>
      </w:r>
    </w:p>
    <w:p w14:paraId="5EEF0F48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D1CBFD" w14:textId="51E40FF3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os princípios da eficiência, da razoabilidade e da supremacia do interesse público, que devem nortear a atuação da Administração Municipal;</w:t>
      </w:r>
    </w:p>
    <w:p w14:paraId="2EEED8BB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E8B7351" w14:textId="07A1C5C0" w:rsidR="00C45633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Considerando o ouvido Plenário e cumpridas as formalidades regimentais, que se digne determinar:</w:t>
      </w:r>
    </w:p>
    <w:p w14:paraId="5F70CBDF" w14:textId="77777777" w:rsidR="00C45633" w:rsidRPr="00AA3AF2" w:rsidRDefault="00C45633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D3AC10" w14:textId="789C475D" w:rsidR="00C45633" w:rsidRPr="00AA3AF2" w:rsidRDefault="00000000" w:rsidP="00AA3AF2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ESTUDO E ABERTURA DE TRAÇADO ALTERNATIVO: que a Secretaria Municipal de Infraestrutura e a Secretaria Municipal de Agricultura realizem vistoria técnica imediata no local, a fim de projetar e executar novo traçado ou rota alternativa segura que conecte a estrada vicinal à rodovia, sem colocar em risco os motoristas e evitando o isolamento dos produtores rurais da região;</w:t>
      </w:r>
    </w:p>
    <w:p w14:paraId="0379F442" w14:textId="77777777" w:rsidR="00C45633" w:rsidRPr="00AA3AF2" w:rsidRDefault="00C45633" w:rsidP="00AA3AF2">
      <w:pPr>
        <w:spacing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617CC025" w14:textId="48ECA3E3" w:rsidR="00C45633" w:rsidRPr="00AA3AF2" w:rsidRDefault="00000000" w:rsidP="00AA3AF2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ACOMPANHAMENTO JUDICIAL E MEDIDAS EXPROPRIATÓRIAS: que a Procuradoria-Geral do Município adote as providências cabíveis nos autos do Processo nº 1013537-35.2026.8.11.0040, a fim de avaliar a necessidade de instituição de servidão de passagem ou desapropriação amigável de área necessária à implantação do novo acesso;</w:t>
      </w:r>
    </w:p>
    <w:p w14:paraId="6732D3B6" w14:textId="77777777" w:rsidR="00C45633" w:rsidRPr="00AA3AF2" w:rsidRDefault="00C45633" w:rsidP="00AA3AF2">
      <w:pPr>
        <w:pStyle w:val="PargrafodaList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A67BE9" w14:textId="77777777" w:rsidR="00C45633" w:rsidRPr="00AA3AF2" w:rsidRDefault="00C45633" w:rsidP="00AA3AF2">
      <w:pPr>
        <w:pStyle w:val="PargrafodaLista"/>
        <w:spacing w:line="276" w:lineRule="auto"/>
        <w:ind w:left="1778"/>
        <w:jc w:val="both"/>
        <w:rPr>
          <w:rFonts w:ascii="Times New Roman" w:hAnsi="Times New Roman" w:cs="Times New Roman"/>
          <w:sz w:val="24"/>
          <w:szCs w:val="24"/>
        </w:rPr>
      </w:pPr>
    </w:p>
    <w:p w14:paraId="09E43F95" w14:textId="4C7BB584" w:rsidR="00C45633" w:rsidRPr="00AA3AF2" w:rsidRDefault="00000000" w:rsidP="00AA3AF2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SINALIZAÇÃO E ORIENTAÇÃO AOS USUÁRIOS: que o Município e a Concessionária APASI instalem sinalização indicativa prévia das rotas alternativas, com o objetivo de orientar os motoristas e evitar transtornos ao tráfego local.</w:t>
      </w:r>
    </w:p>
    <w:p w14:paraId="32359401" w14:textId="77777777" w:rsidR="00C45633" w:rsidRPr="00AA3AF2" w:rsidRDefault="00C45633" w:rsidP="00AA3AF2">
      <w:pPr>
        <w:pStyle w:val="PargrafodaLista"/>
        <w:spacing w:line="276" w:lineRule="auto"/>
        <w:ind w:left="1778"/>
        <w:jc w:val="both"/>
        <w:rPr>
          <w:rFonts w:ascii="Times New Roman" w:hAnsi="Times New Roman" w:cs="Times New Roman"/>
          <w:sz w:val="24"/>
          <w:szCs w:val="24"/>
        </w:rPr>
      </w:pPr>
    </w:p>
    <w:p w14:paraId="7C314076" w14:textId="1467FF70" w:rsidR="004C1E01" w:rsidRPr="00AA3AF2" w:rsidRDefault="00000000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A3AF2">
        <w:rPr>
          <w:rFonts w:ascii="Times New Roman" w:hAnsi="Times New Roman" w:cs="Times New Roman"/>
          <w:sz w:val="24"/>
          <w:szCs w:val="24"/>
        </w:rPr>
        <w:t>Requer, ainda, que sejam encaminhadas a esta Casa de Leis, no prazo regimental, informações sobre as medidas adotadas em cumprimento ao presente requerimento.</w:t>
      </w:r>
    </w:p>
    <w:p w14:paraId="22A730E0" w14:textId="77777777" w:rsidR="004C1E01" w:rsidRPr="00AA3AF2" w:rsidRDefault="004C1E01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F350E3" w14:textId="77777777" w:rsidR="004C1E01" w:rsidRPr="00AA3AF2" w:rsidRDefault="004C1E01" w:rsidP="00AA3AF2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8E7CA8" w14:textId="36F2A755" w:rsidR="00444275" w:rsidRPr="00AA3AF2" w:rsidRDefault="00000000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AA3AF2" w:rsidRPr="00AA3AF2">
        <w:rPr>
          <w:rFonts w:ascii="Times New Roman" w:hAnsi="Times New Roman" w:cs="Times New Roman"/>
          <w:color w:val="000000"/>
          <w:sz w:val="24"/>
          <w:szCs w:val="24"/>
        </w:rPr>
        <w:t xml:space="preserve">28 de setembro </w:t>
      </w:r>
      <w:r w:rsidR="0097293D" w:rsidRPr="00AA3AF2">
        <w:rPr>
          <w:rFonts w:ascii="Times New Roman" w:hAnsi="Times New Roman" w:cs="Times New Roman"/>
          <w:color w:val="000000"/>
          <w:sz w:val="24"/>
          <w:szCs w:val="24"/>
        </w:rPr>
        <w:t>de 2026.</w:t>
      </w:r>
    </w:p>
    <w:p w14:paraId="0DB5389B" w14:textId="77777777" w:rsidR="00915E45" w:rsidRPr="00AA3AF2" w:rsidRDefault="00915E45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804DB" w14:textId="77777777" w:rsidR="00915E45" w:rsidRDefault="00915E45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7B00A5F7" w14:textId="77777777" w:rsidR="00DD2FF2" w:rsidRDefault="00DD2FF2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F8DD8AE" w14:textId="77777777" w:rsidR="00DD2FF2" w:rsidRDefault="00DD2FF2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51AB49C5" w14:textId="77777777" w:rsidR="00DD2FF2" w:rsidRPr="00AA3AF2" w:rsidRDefault="00DD2FF2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4"/>
        <w:gridCol w:w="779"/>
        <w:gridCol w:w="1983"/>
        <w:gridCol w:w="1132"/>
        <w:gridCol w:w="1278"/>
        <w:gridCol w:w="2693"/>
      </w:tblGrid>
      <w:tr w:rsidR="00E779C6" w:rsidRPr="00AA3AF2" w14:paraId="7D3C2A16" w14:textId="77777777" w:rsidTr="00476F97">
        <w:trPr>
          <w:trHeight w:val="1635"/>
        </w:trPr>
        <w:tc>
          <w:tcPr>
            <w:tcW w:w="3334" w:type="dxa"/>
          </w:tcPr>
          <w:p w14:paraId="622E30C0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RODRIGO MATTERAZZI</w:t>
            </w:r>
          </w:p>
          <w:p w14:paraId="4DAED6ED" w14:textId="2E02A98D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Republicanos</w:t>
            </w:r>
          </w:p>
        </w:tc>
        <w:tc>
          <w:tcPr>
            <w:tcW w:w="2762" w:type="dxa"/>
            <w:gridSpan w:val="2"/>
          </w:tcPr>
          <w:p w14:paraId="64F1A1DA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DIOGO KRIGUER</w:t>
            </w:r>
          </w:p>
          <w:p w14:paraId="47781126" w14:textId="548A88FD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13F23E5B" w14:textId="6460EEF1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EMESON FARIAS</w:t>
            </w:r>
          </w:p>
          <w:p w14:paraId="6436AA7B" w14:textId="67205F20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PL</w:t>
            </w:r>
          </w:p>
        </w:tc>
        <w:tc>
          <w:tcPr>
            <w:tcW w:w="2693" w:type="dxa"/>
          </w:tcPr>
          <w:p w14:paraId="04F7B0D3" w14:textId="75BB8FB4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ADIR CUNICO</w:t>
            </w:r>
          </w:p>
          <w:p w14:paraId="20371C0F" w14:textId="228A394E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NOVO</w:t>
            </w:r>
          </w:p>
        </w:tc>
      </w:tr>
      <w:tr w:rsidR="00E779C6" w:rsidRPr="00AA3AF2" w14:paraId="4DA7A36B" w14:textId="77777777" w:rsidTr="00476F97">
        <w:trPr>
          <w:trHeight w:val="1545"/>
        </w:trPr>
        <w:tc>
          <w:tcPr>
            <w:tcW w:w="3334" w:type="dxa"/>
          </w:tcPr>
          <w:p w14:paraId="3EFE5498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BRENDO BRAGA</w:t>
            </w:r>
          </w:p>
          <w:p w14:paraId="08278881" w14:textId="41718589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Republicanos</w:t>
            </w:r>
          </w:p>
        </w:tc>
        <w:tc>
          <w:tcPr>
            <w:tcW w:w="2762" w:type="dxa"/>
            <w:gridSpan w:val="2"/>
          </w:tcPr>
          <w:p w14:paraId="7DFF54BC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GRINGO DO BARREIRO</w:t>
            </w:r>
          </w:p>
          <w:p w14:paraId="6FAC6FBD" w14:textId="3B65C7EF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PL</w:t>
            </w:r>
          </w:p>
        </w:tc>
        <w:tc>
          <w:tcPr>
            <w:tcW w:w="2410" w:type="dxa"/>
            <w:gridSpan w:val="2"/>
          </w:tcPr>
          <w:p w14:paraId="394CA660" w14:textId="3784EBC5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TOCO BAGGIO</w:t>
            </w:r>
          </w:p>
          <w:p w14:paraId="45478C50" w14:textId="2C123088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</w:tc>
        <w:tc>
          <w:tcPr>
            <w:tcW w:w="2693" w:type="dxa"/>
          </w:tcPr>
          <w:p w14:paraId="137F22F6" w14:textId="0155B651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DARCI GOLÇALVES</w:t>
            </w:r>
          </w:p>
          <w:p w14:paraId="64DEAD34" w14:textId="5769BF1A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VAEREDOR MDB</w:t>
            </w:r>
          </w:p>
        </w:tc>
      </w:tr>
      <w:tr w:rsidR="00E779C6" w:rsidRPr="00AA3AF2" w14:paraId="2BB3F483" w14:textId="77777777" w:rsidTr="00476F97">
        <w:tc>
          <w:tcPr>
            <w:tcW w:w="4113" w:type="dxa"/>
            <w:gridSpan w:val="2"/>
          </w:tcPr>
          <w:p w14:paraId="33661C9D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PROFª SILVANA PERIN</w:t>
            </w:r>
          </w:p>
          <w:p w14:paraId="08D7EC5F" w14:textId="2E7BDAD0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MDB</w:t>
            </w:r>
          </w:p>
        </w:tc>
        <w:tc>
          <w:tcPr>
            <w:tcW w:w="3115" w:type="dxa"/>
            <w:gridSpan w:val="2"/>
          </w:tcPr>
          <w:p w14:paraId="5CC538AE" w14:textId="77777777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WANDERLEY PAULO</w:t>
            </w:r>
          </w:p>
          <w:p w14:paraId="5E939D9A" w14:textId="1380AAD4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PP</w:t>
            </w:r>
          </w:p>
        </w:tc>
        <w:tc>
          <w:tcPr>
            <w:tcW w:w="3971" w:type="dxa"/>
            <w:gridSpan w:val="2"/>
          </w:tcPr>
          <w:p w14:paraId="0A7AF61D" w14:textId="503FFB6B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JANE DELALIBERA</w:t>
            </w:r>
          </w:p>
          <w:p w14:paraId="6011F369" w14:textId="7C44543F" w:rsidR="00476F97" w:rsidRPr="00AA3AF2" w:rsidRDefault="00000000" w:rsidP="00AA3A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3A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PL</w:t>
            </w:r>
          </w:p>
        </w:tc>
      </w:tr>
    </w:tbl>
    <w:p w14:paraId="6D03B99C" w14:textId="77777777" w:rsidR="00C34B77" w:rsidRPr="00AA3AF2" w:rsidRDefault="00C34B77" w:rsidP="00AA3AF2">
      <w:pPr>
        <w:spacing w:line="276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34B77" w:rsidRPr="00AA3AF2" w:rsidSect="00DD2FF2">
      <w:headerReference w:type="default" r:id="rId11"/>
      <w:footerReference w:type="default" r:id="rId12"/>
      <w:pgSz w:w="11906" w:h="16838"/>
      <w:pgMar w:top="3119" w:right="1133" w:bottom="851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7A0D9" w14:textId="77777777" w:rsidR="00B85E14" w:rsidRDefault="00B85E14">
      <w:r>
        <w:separator/>
      </w:r>
    </w:p>
  </w:endnote>
  <w:endnote w:type="continuationSeparator" w:id="0">
    <w:p w14:paraId="13F8A695" w14:textId="77777777" w:rsidR="00B85E14" w:rsidRDefault="00B8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9801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B8809D4" w14:textId="2A1218B7" w:rsidR="00DD2FF2" w:rsidRPr="00DD2FF2" w:rsidRDefault="00DD2FF2" w:rsidP="00DD2FF2">
            <w:pPr>
              <w:pStyle w:val="Rodap"/>
              <w:ind w:right="-568"/>
              <w:jc w:val="right"/>
              <w:rPr>
                <w:rFonts w:ascii="Times New Roman" w:hAnsi="Times New Roman" w:cs="Times New Roman"/>
              </w:rPr>
            </w:pPr>
            <w:r w:rsidRPr="00DD2FF2">
              <w:rPr>
                <w:rFonts w:ascii="Times New Roman" w:hAnsi="Times New Roman" w:cs="Times New Roman"/>
              </w:rPr>
              <w:t xml:space="preserve">Página </w: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D2FF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D2FF2">
              <w:rPr>
                <w:rFonts w:ascii="Times New Roman" w:hAnsi="Times New Roman" w:cs="Times New Roman"/>
                <w:b/>
                <w:bCs/>
              </w:rPr>
              <w:t>2</w: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D2FF2">
              <w:rPr>
                <w:rFonts w:ascii="Times New Roman" w:hAnsi="Times New Roman" w:cs="Times New Roman"/>
              </w:rPr>
              <w:t xml:space="preserve"> de </w: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D2FF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D2FF2">
              <w:rPr>
                <w:rFonts w:ascii="Times New Roman" w:hAnsi="Times New Roman" w:cs="Times New Roman"/>
                <w:b/>
                <w:bCs/>
              </w:rPr>
              <w:t>2</w:t>
            </w:r>
            <w:r w:rsidRPr="00DD2FF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0DE1" w14:textId="77777777" w:rsidR="00B85E14" w:rsidRDefault="00B85E14">
      <w:r>
        <w:separator/>
      </w:r>
    </w:p>
  </w:footnote>
  <w:footnote w:type="continuationSeparator" w:id="0">
    <w:p w14:paraId="7231C14E" w14:textId="77777777" w:rsidR="00B85E14" w:rsidRDefault="00B85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59A45392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7F882D12" w:tentative="1">
      <w:start w:val="1"/>
      <w:numFmt w:val="lowerLetter"/>
      <w:lvlText w:val="%2."/>
      <w:lvlJc w:val="left"/>
      <w:pPr>
        <w:ind w:left="2498" w:hanging="360"/>
      </w:pPr>
    </w:lvl>
    <w:lvl w:ilvl="2" w:tplc="8AE4D6E8" w:tentative="1">
      <w:start w:val="1"/>
      <w:numFmt w:val="lowerRoman"/>
      <w:lvlText w:val="%3."/>
      <w:lvlJc w:val="right"/>
      <w:pPr>
        <w:ind w:left="3218" w:hanging="180"/>
      </w:pPr>
    </w:lvl>
    <w:lvl w:ilvl="3" w:tplc="084A7F22" w:tentative="1">
      <w:start w:val="1"/>
      <w:numFmt w:val="decimal"/>
      <w:lvlText w:val="%4."/>
      <w:lvlJc w:val="left"/>
      <w:pPr>
        <w:ind w:left="3938" w:hanging="360"/>
      </w:pPr>
    </w:lvl>
    <w:lvl w:ilvl="4" w:tplc="E1D65E12" w:tentative="1">
      <w:start w:val="1"/>
      <w:numFmt w:val="lowerLetter"/>
      <w:lvlText w:val="%5."/>
      <w:lvlJc w:val="left"/>
      <w:pPr>
        <w:ind w:left="4658" w:hanging="360"/>
      </w:pPr>
    </w:lvl>
    <w:lvl w:ilvl="5" w:tplc="7172A8E8" w:tentative="1">
      <w:start w:val="1"/>
      <w:numFmt w:val="lowerRoman"/>
      <w:lvlText w:val="%6."/>
      <w:lvlJc w:val="right"/>
      <w:pPr>
        <w:ind w:left="5378" w:hanging="180"/>
      </w:pPr>
    </w:lvl>
    <w:lvl w:ilvl="6" w:tplc="46C8E632" w:tentative="1">
      <w:start w:val="1"/>
      <w:numFmt w:val="decimal"/>
      <w:lvlText w:val="%7."/>
      <w:lvlJc w:val="left"/>
      <w:pPr>
        <w:ind w:left="6098" w:hanging="360"/>
      </w:pPr>
    </w:lvl>
    <w:lvl w:ilvl="7" w:tplc="AB80D16E" w:tentative="1">
      <w:start w:val="1"/>
      <w:numFmt w:val="lowerLetter"/>
      <w:lvlText w:val="%8."/>
      <w:lvlJc w:val="left"/>
      <w:pPr>
        <w:ind w:left="6818" w:hanging="360"/>
      </w:pPr>
    </w:lvl>
    <w:lvl w:ilvl="8" w:tplc="E85A624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A3C6E90"/>
    <w:multiLevelType w:val="hybridMultilevel"/>
    <w:tmpl w:val="3060560C"/>
    <w:lvl w:ilvl="0" w:tplc="7FC4EAA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64B0205A" w:tentative="1">
      <w:start w:val="1"/>
      <w:numFmt w:val="lowerLetter"/>
      <w:lvlText w:val="%2."/>
      <w:lvlJc w:val="left"/>
      <w:pPr>
        <w:ind w:left="2498" w:hanging="360"/>
      </w:pPr>
    </w:lvl>
    <w:lvl w:ilvl="2" w:tplc="A146A1EA" w:tentative="1">
      <w:start w:val="1"/>
      <w:numFmt w:val="lowerRoman"/>
      <w:lvlText w:val="%3."/>
      <w:lvlJc w:val="right"/>
      <w:pPr>
        <w:ind w:left="3218" w:hanging="180"/>
      </w:pPr>
    </w:lvl>
    <w:lvl w:ilvl="3" w:tplc="029437C2" w:tentative="1">
      <w:start w:val="1"/>
      <w:numFmt w:val="decimal"/>
      <w:lvlText w:val="%4."/>
      <w:lvlJc w:val="left"/>
      <w:pPr>
        <w:ind w:left="3938" w:hanging="360"/>
      </w:pPr>
    </w:lvl>
    <w:lvl w:ilvl="4" w:tplc="97B8F24E" w:tentative="1">
      <w:start w:val="1"/>
      <w:numFmt w:val="lowerLetter"/>
      <w:lvlText w:val="%5."/>
      <w:lvlJc w:val="left"/>
      <w:pPr>
        <w:ind w:left="4658" w:hanging="360"/>
      </w:pPr>
    </w:lvl>
    <w:lvl w:ilvl="5" w:tplc="5A8E82F4" w:tentative="1">
      <w:start w:val="1"/>
      <w:numFmt w:val="lowerRoman"/>
      <w:lvlText w:val="%6."/>
      <w:lvlJc w:val="right"/>
      <w:pPr>
        <w:ind w:left="5378" w:hanging="180"/>
      </w:pPr>
    </w:lvl>
    <w:lvl w:ilvl="6" w:tplc="4D008E2C" w:tentative="1">
      <w:start w:val="1"/>
      <w:numFmt w:val="decimal"/>
      <w:lvlText w:val="%7."/>
      <w:lvlJc w:val="left"/>
      <w:pPr>
        <w:ind w:left="6098" w:hanging="360"/>
      </w:pPr>
    </w:lvl>
    <w:lvl w:ilvl="7" w:tplc="96A2281E" w:tentative="1">
      <w:start w:val="1"/>
      <w:numFmt w:val="lowerLetter"/>
      <w:lvlText w:val="%8."/>
      <w:lvlJc w:val="left"/>
      <w:pPr>
        <w:ind w:left="6818" w:hanging="360"/>
      </w:pPr>
    </w:lvl>
    <w:lvl w:ilvl="8" w:tplc="7900674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637C86"/>
    <w:multiLevelType w:val="hybridMultilevel"/>
    <w:tmpl w:val="1F149A40"/>
    <w:lvl w:ilvl="0" w:tplc="4B705C0E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105627FC" w:tentative="1">
      <w:start w:val="1"/>
      <w:numFmt w:val="lowerLetter"/>
      <w:lvlText w:val="%2."/>
      <w:lvlJc w:val="left"/>
      <w:pPr>
        <w:ind w:left="2498" w:hanging="360"/>
      </w:pPr>
    </w:lvl>
    <w:lvl w:ilvl="2" w:tplc="3E06BFEE" w:tentative="1">
      <w:start w:val="1"/>
      <w:numFmt w:val="lowerRoman"/>
      <w:lvlText w:val="%3."/>
      <w:lvlJc w:val="right"/>
      <w:pPr>
        <w:ind w:left="3218" w:hanging="180"/>
      </w:pPr>
    </w:lvl>
    <w:lvl w:ilvl="3" w:tplc="AFF6FE76" w:tentative="1">
      <w:start w:val="1"/>
      <w:numFmt w:val="decimal"/>
      <w:lvlText w:val="%4."/>
      <w:lvlJc w:val="left"/>
      <w:pPr>
        <w:ind w:left="3938" w:hanging="360"/>
      </w:pPr>
    </w:lvl>
    <w:lvl w:ilvl="4" w:tplc="AD40269A" w:tentative="1">
      <w:start w:val="1"/>
      <w:numFmt w:val="lowerLetter"/>
      <w:lvlText w:val="%5."/>
      <w:lvlJc w:val="left"/>
      <w:pPr>
        <w:ind w:left="4658" w:hanging="360"/>
      </w:pPr>
    </w:lvl>
    <w:lvl w:ilvl="5" w:tplc="6712BEBC" w:tentative="1">
      <w:start w:val="1"/>
      <w:numFmt w:val="lowerRoman"/>
      <w:lvlText w:val="%6."/>
      <w:lvlJc w:val="right"/>
      <w:pPr>
        <w:ind w:left="5378" w:hanging="180"/>
      </w:pPr>
    </w:lvl>
    <w:lvl w:ilvl="6" w:tplc="AC5E32E2" w:tentative="1">
      <w:start w:val="1"/>
      <w:numFmt w:val="decimal"/>
      <w:lvlText w:val="%7."/>
      <w:lvlJc w:val="left"/>
      <w:pPr>
        <w:ind w:left="6098" w:hanging="360"/>
      </w:pPr>
    </w:lvl>
    <w:lvl w:ilvl="7" w:tplc="85882D6A" w:tentative="1">
      <w:start w:val="1"/>
      <w:numFmt w:val="lowerLetter"/>
      <w:lvlText w:val="%8."/>
      <w:lvlJc w:val="left"/>
      <w:pPr>
        <w:ind w:left="6818" w:hanging="360"/>
      </w:pPr>
    </w:lvl>
    <w:lvl w:ilvl="8" w:tplc="8C7E655C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65736403">
    <w:abstractNumId w:val="2"/>
  </w:num>
  <w:num w:numId="2" w16cid:durableId="1717123554">
    <w:abstractNumId w:val="3"/>
  </w:num>
  <w:num w:numId="3" w16cid:durableId="1316297367">
    <w:abstractNumId w:val="0"/>
  </w:num>
  <w:num w:numId="4" w16cid:durableId="815997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291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9459B"/>
    <w:rsid w:val="002A0CAB"/>
    <w:rsid w:val="002A5B8C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76F97"/>
    <w:rsid w:val="00477DBF"/>
    <w:rsid w:val="00482F69"/>
    <w:rsid w:val="00485D24"/>
    <w:rsid w:val="00487596"/>
    <w:rsid w:val="00494D20"/>
    <w:rsid w:val="00496EAA"/>
    <w:rsid w:val="004A7E44"/>
    <w:rsid w:val="004B4675"/>
    <w:rsid w:val="004C090E"/>
    <w:rsid w:val="004C1E01"/>
    <w:rsid w:val="004D087C"/>
    <w:rsid w:val="004E2B26"/>
    <w:rsid w:val="004F071F"/>
    <w:rsid w:val="004F6407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487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156CD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67C7D"/>
    <w:rsid w:val="00970860"/>
    <w:rsid w:val="0097293D"/>
    <w:rsid w:val="00985149"/>
    <w:rsid w:val="0098665F"/>
    <w:rsid w:val="009A3983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24551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A3AF2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66C1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85E14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45633"/>
    <w:rsid w:val="00C71278"/>
    <w:rsid w:val="00C74C79"/>
    <w:rsid w:val="00C81FD2"/>
    <w:rsid w:val="00C83F75"/>
    <w:rsid w:val="00C90B06"/>
    <w:rsid w:val="00C9292F"/>
    <w:rsid w:val="00CB0E13"/>
    <w:rsid w:val="00CB5409"/>
    <w:rsid w:val="00CD1CC5"/>
    <w:rsid w:val="00CD7B1F"/>
    <w:rsid w:val="00CE1853"/>
    <w:rsid w:val="00CE2D43"/>
    <w:rsid w:val="00CE3880"/>
    <w:rsid w:val="00D14DF4"/>
    <w:rsid w:val="00D23510"/>
    <w:rsid w:val="00D25D94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2FF2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779C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1C1A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0A2A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DD2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2FF2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D2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2FF2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4</cp:revision>
  <cp:lastPrinted>2025-09-02T12:23:00Z</cp:lastPrinted>
  <dcterms:created xsi:type="dcterms:W3CDTF">2026-10-01T14:39:00Z</dcterms:created>
  <dcterms:modified xsi:type="dcterms:W3CDTF">2026-10-01T16:12:00Z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