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5" w:rsidRPr="002F5232" w:rsidRDefault="003F0BD5" w:rsidP="003F0BD5">
      <w:pPr>
        <w:pStyle w:val="Recuodecorpodetexto2"/>
        <w:tabs>
          <w:tab w:val="left" w:pos="1980"/>
        </w:tabs>
        <w:ind w:left="0" w:firstLine="2835"/>
        <w:rPr>
          <w:rFonts w:eastAsia="Calibri"/>
          <w:b w:val="0"/>
          <w:i w:val="0"/>
          <w:color w:val="000000"/>
          <w:szCs w:val="24"/>
          <w:lang w:eastAsia="en-US"/>
        </w:rPr>
      </w:pPr>
      <w:r>
        <w:rPr>
          <w:rFonts w:eastAsia="Calibri"/>
          <w:i w:val="0"/>
          <w:color w:val="000000"/>
          <w:szCs w:val="24"/>
          <w:lang w:eastAsia="en-US"/>
        </w:rPr>
        <w:t xml:space="preserve">LEI </w:t>
      </w:r>
      <w:r w:rsidRPr="002F5232">
        <w:rPr>
          <w:rFonts w:eastAsia="Calibri"/>
          <w:i w:val="0"/>
          <w:color w:val="000000"/>
          <w:szCs w:val="24"/>
          <w:lang w:eastAsia="en-US"/>
        </w:rPr>
        <w:t xml:space="preserve">N° </w:t>
      </w:r>
      <w:r>
        <w:rPr>
          <w:rFonts w:eastAsia="Calibri"/>
          <w:i w:val="0"/>
          <w:color w:val="000000"/>
          <w:szCs w:val="24"/>
          <w:lang w:eastAsia="en-US"/>
        </w:rPr>
        <w:t>2.889, DE 16 DE OUTUBRO DE 2018.</w:t>
      </w:r>
    </w:p>
    <w:p w:rsidR="003F0BD5" w:rsidRPr="002F5232" w:rsidRDefault="003F0BD5" w:rsidP="003F0BD5">
      <w:pPr>
        <w:pStyle w:val="Recuodecorpodetexto2"/>
        <w:tabs>
          <w:tab w:val="left" w:pos="1980"/>
        </w:tabs>
        <w:ind w:left="0" w:firstLine="2835"/>
        <w:rPr>
          <w:rFonts w:eastAsia="Calibri"/>
          <w:b w:val="0"/>
          <w:i w:val="0"/>
          <w:color w:val="000000"/>
          <w:szCs w:val="24"/>
          <w:lang w:eastAsia="en-US"/>
        </w:rPr>
      </w:pPr>
    </w:p>
    <w:p w:rsidR="003F0BD5" w:rsidRPr="002F5232" w:rsidRDefault="003F0BD5" w:rsidP="003F0BD5">
      <w:pPr>
        <w:pStyle w:val="Recuodecorpodetexto"/>
        <w:ind w:left="216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3F0BD5" w:rsidRPr="002F5232" w:rsidRDefault="003F0BD5" w:rsidP="003F0BD5">
      <w:pPr>
        <w:autoSpaceDE w:val="0"/>
        <w:autoSpaceDN w:val="0"/>
        <w:adjustRightInd w:val="0"/>
        <w:ind w:left="2835"/>
        <w:jc w:val="both"/>
        <w:rPr>
          <w:rFonts w:eastAsia="Calibri"/>
          <w:color w:val="000000"/>
          <w:sz w:val="24"/>
          <w:szCs w:val="24"/>
        </w:rPr>
      </w:pPr>
      <w:r w:rsidRPr="002F5232">
        <w:rPr>
          <w:rFonts w:eastAsia="Calibri"/>
          <w:color w:val="000000"/>
          <w:sz w:val="24"/>
          <w:szCs w:val="24"/>
        </w:rPr>
        <w:t>Acrescenta subitem 22.02 ao item 22 do art. 1º e dá nova redação ao §8º do art. 15 da Lei nº 2.285, de 18 de dezembro de 2013, e dá outras providências.</w:t>
      </w:r>
    </w:p>
    <w:p w:rsidR="003F0BD5" w:rsidRDefault="003F0BD5" w:rsidP="003F0BD5">
      <w:pPr>
        <w:pStyle w:val="Recuodecorpodetexto"/>
        <w:ind w:left="2160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3F0BD5" w:rsidRPr="002F5232" w:rsidRDefault="003F0BD5" w:rsidP="003F0BD5">
      <w:pPr>
        <w:pStyle w:val="Recuodecorpodetexto"/>
        <w:ind w:left="2160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3F0BD5" w:rsidRPr="00F80A91" w:rsidRDefault="003F0BD5" w:rsidP="003F0BD5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  <w:r w:rsidRPr="00F80A91">
        <w:rPr>
          <w:sz w:val="24"/>
          <w:szCs w:val="24"/>
        </w:rPr>
        <w:t xml:space="preserve">Ari </w:t>
      </w:r>
      <w:proofErr w:type="spellStart"/>
      <w:r w:rsidRPr="00F80A91">
        <w:rPr>
          <w:sz w:val="24"/>
          <w:szCs w:val="24"/>
        </w:rPr>
        <w:t>Genézio</w:t>
      </w:r>
      <w:proofErr w:type="spellEnd"/>
      <w:r w:rsidRPr="00F80A91">
        <w:rPr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3F0BD5" w:rsidRPr="002F5232" w:rsidRDefault="003F0BD5" w:rsidP="003F0BD5">
      <w:pPr>
        <w:ind w:firstLine="2835"/>
        <w:jc w:val="both"/>
        <w:rPr>
          <w:sz w:val="24"/>
          <w:szCs w:val="24"/>
        </w:rPr>
      </w:pPr>
    </w:p>
    <w:p w:rsidR="003F0BD5" w:rsidRPr="002F5232" w:rsidRDefault="003F0BD5" w:rsidP="003F0B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b/>
          <w:bCs/>
        </w:rPr>
        <w:t xml:space="preserve">Art. 1° </w:t>
      </w:r>
      <w:r w:rsidRPr="002F5232">
        <w:rPr>
          <w:rFonts w:ascii="Times New Roman" w:hAnsi="Times New Roman" w:cs="Times New Roman"/>
          <w:bCs/>
        </w:rPr>
        <w:t>O Art. 1º, item 22 da Lei 2.285, de 18 de dezembro de 2013, passa a vigorar acrescido do seguinte</w:t>
      </w:r>
      <w:r w:rsidRPr="002F5232">
        <w:rPr>
          <w:rFonts w:ascii="Times New Roman" w:hAnsi="Times New Roman" w:cs="Times New Roman"/>
        </w:rPr>
        <w:t xml:space="preserve"> subitem 22.02:</w:t>
      </w:r>
    </w:p>
    <w:p w:rsidR="003F0BD5" w:rsidRPr="002F5232" w:rsidRDefault="003F0BD5" w:rsidP="003F0BD5">
      <w:pPr>
        <w:pStyle w:val="Default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</w:rPr>
        <w:t xml:space="preserve"> 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  <w:i/>
        </w:rPr>
      </w:pPr>
      <w:r w:rsidRPr="002F5232">
        <w:rPr>
          <w:rFonts w:ascii="Times New Roman" w:hAnsi="Times New Roman" w:cs="Times New Roman"/>
          <w:b/>
          <w:bCs/>
          <w:i/>
        </w:rPr>
        <w:t>“Art. 1°</w:t>
      </w:r>
      <w:proofErr w:type="gramStart"/>
      <w:r w:rsidRPr="002F5232">
        <w:rPr>
          <w:rFonts w:ascii="Times New Roman" w:hAnsi="Times New Roman" w:cs="Times New Roman"/>
          <w:bCs/>
          <w:i/>
        </w:rPr>
        <w:t>................</w:t>
      </w:r>
      <w:r w:rsidRPr="002F5232">
        <w:rPr>
          <w:rFonts w:ascii="Times New Roman" w:hAnsi="Times New Roman" w:cs="Times New Roman"/>
          <w:i/>
        </w:rPr>
        <w:t>.................................................................................................</w:t>
      </w:r>
      <w:proofErr w:type="gramEnd"/>
    </w:p>
    <w:p w:rsidR="003F0BD5" w:rsidRPr="002F5232" w:rsidRDefault="003F0BD5" w:rsidP="003F0BD5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2F5232">
        <w:rPr>
          <w:rFonts w:ascii="Times New Roman" w:hAnsi="Times New Roman" w:cs="Times New Roman"/>
          <w:b/>
          <w:i/>
          <w:color w:val="auto"/>
        </w:rPr>
        <w:t xml:space="preserve">22 </w:t>
      </w:r>
      <w:proofErr w:type="gramStart"/>
      <w:r w:rsidRPr="002F5232">
        <w:rPr>
          <w:rFonts w:ascii="Times New Roman" w:hAnsi="Times New Roman" w:cs="Times New Roman"/>
          <w:b/>
          <w:i/>
          <w:color w:val="auto"/>
        </w:rPr>
        <w:t xml:space="preserve">– </w:t>
      </w:r>
      <w:r w:rsidRPr="002F5232">
        <w:rPr>
          <w:rFonts w:ascii="Times New Roman" w:hAnsi="Times New Roman" w:cs="Times New Roman"/>
          <w:i/>
          <w:color w:val="auto"/>
        </w:rPr>
        <w:t>...</w:t>
      </w:r>
      <w:proofErr w:type="gramEnd"/>
      <w:r w:rsidRPr="002F5232">
        <w:rPr>
          <w:rFonts w:ascii="Times New Roman" w:hAnsi="Times New Roman" w:cs="Times New Roman"/>
          <w:i/>
          <w:color w:val="auto"/>
        </w:rPr>
        <w:t xml:space="preserve">.......................................................................................................................................... </w:t>
      </w:r>
    </w:p>
    <w:p w:rsidR="003F0BD5" w:rsidRPr="002F5232" w:rsidRDefault="003F0BD5" w:rsidP="003F0BD5">
      <w:pPr>
        <w:pStyle w:val="Default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i/>
          <w:color w:val="auto"/>
        </w:rPr>
        <w:t>22.02 – Serviços de exploração de rodovia mediante cobrança de preço ou pedágio dos usuários, envolvendo execução de serviços de conservação, manutenção, melhoramentos para adequação de capacidade e segurança de trânsito, operação, monitoração, assistência aos usuários e outros serviços definidos em contratos, atos de concessão ou de permissão ou em normas oficiais</w:t>
      </w:r>
      <w:r w:rsidRPr="002F5232">
        <w:rPr>
          <w:rFonts w:ascii="Times New Roman" w:hAnsi="Times New Roman" w:cs="Times New Roman"/>
          <w:i/>
        </w:rPr>
        <w:t xml:space="preserve">, de concessionárias, e desde que formalize a adesão a programas de obras de infraestrutura de responsabilidade do Município a preços de referência de órgãos oficiais excluindo-se os </w:t>
      </w:r>
      <w:proofErr w:type="spellStart"/>
      <w:r w:rsidRPr="002F5232">
        <w:rPr>
          <w:rFonts w:ascii="Times New Roman" w:hAnsi="Times New Roman" w:cs="Times New Roman"/>
          <w:i/>
        </w:rPr>
        <w:t>BDIs</w:t>
      </w:r>
      <w:proofErr w:type="spellEnd"/>
      <w:r w:rsidRPr="002F5232">
        <w:rPr>
          <w:rFonts w:ascii="Times New Roman" w:hAnsi="Times New Roman" w:cs="Times New Roman"/>
          <w:i/>
        </w:rPr>
        <w:t xml:space="preserve"> – Bônus de Despesas Indiretas, pelo tempo aprovado e homologado pelo Município. </w:t>
      </w:r>
      <w:proofErr w:type="gramStart"/>
      <w:r w:rsidRPr="002F5232">
        <w:rPr>
          <w:rFonts w:ascii="Times New Roman" w:hAnsi="Times New Roman" w:cs="Times New Roman"/>
          <w:i/>
        </w:rPr>
        <w:t>”(NR)</w:t>
      </w:r>
    </w:p>
    <w:p w:rsidR="003F0BD5" w:rsidRPr="002F5232" w:rsidRDefault="003F0BD5" w:rsidP="003F0BD5">
      <w:pPr>
        <w:pStyle w:val="Default"/>
        <w:jc w:val="both"/>
        <w:rPr>
          <w:rFonts w:ascii="Times New Roman" w:hAnsi="Times New Roman" w:cs="Times New Roman"/>
          <w:color w:val="FF0000"/>
        </w:rPr>
      </w:pPr>
      <w:proofErr w:type="gramEnd"/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b/>
        </w:rPr>
        <w:t>Art. 2º</w:t>
      </w:r>
      <w:r w:rsidRPr="002F5232">
        <w:rPr>
          <w:rFonts w:ascii="Times New Roman" w:hAnsi="Times New Roman" w:cs="Times New Roman"/>
        </w:rPr>
        <w:t xml:space="preserve"> Para enquadramento no subitem 22.02, deverá a empresa concessionária dos serviços, apresentar os seguintes documentos:</w:t>
      </w:r>
    </w:p>
    <w:p w:rsidR="003F0BD5" w:rsidRPr="002F5232" w:rsidRDefault="003F0BD5" w:rsidP="003F0BD5">
      <w:pPr>
        <w:pStyle w:val="Default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</w:rPr>
        <w:t>a) apresentação do estatuto ou do contrato social da empresa e suas alterações, onde demonstre a participação mínima de 50% (cinquenta por cento) da entidade com fins não econômicos;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</w:rPr>
        <w:t>b) apresentação do estatuto da entidade com fins não econômicos participante da cota mínima de 50% (cinquenta por cento), ou mais do capital social da concessionária;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</w:rPr>
        <w:t>c) apresentação do comprovante do Cadastro Nacional de Pessoa Jurídica – CNPJ, em que contemple a entidade, onde sua atividade está voltada para a defesa de direitos sociais;</w:t>
      </w:r>
    </w:p>
    <w:p w:rsidR="003F0BD5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</w:rPr>
        <w:t xml:space="preserve">d) adesão ao programa de obras </w:t>
      </w:r>
      <w:proofErr w:type="gramStart"/>
      <w:r w:rsidRPr="002F5232">
        <w:rPr>
          <w:rFonts w:ascii="Times New Roman" w:hAnsi="Times New Roman" w:cs="Times New Roman"/>
        </w:rPr>
        <w:t>públicas disponibilizado pela Prefeitura demonstrado na planilha de quantidades e custos e do cronograma de execução da obra</w:t>
      </w:r>
      <w:proofErr w:type="gramEnd"/>
      <w:r w:rsidRPr="002F5232">
        <w:rPr>
          <w:rFonts w:ascii="Times New Roman" w:hAnsi="Times New Roman" w:cs="Times New Roman"/>
        </w:rPr>
        <w:t>;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</w:rPr>
        <w:t>e) apresentação do projeto executivo das obras públicas de responsabilidade e de interesse do município aprovado pela Secretaria da Cidade, exceto quando o projeto executivo das obras tenha sido fornecido pelo Município.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</w:rPr>
        <w:lastRenderedPageBreak/>
        <w:t>f) homologação e/ou deferimento pelo Município através de Decreto Municipal expedido pelo Prefeito Municipal, da adesão apresentada pelo interessado demonstrando o valor do investimento e o período da compensação do imposto diferenciado em relação ao subitem 22.01 do Anexo Único da Lei nº 2.285, de 18 de dezembro de 2013.</w:t>
      </w:r>
    </w:p>
    <w:p w:rsidR="003F0BD5" w:rsidRPr="002F5232" w:rsidRDefault="003F0BD5" w:rsidP="003F0BD5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b/>
        </w:rPr>
        <w:t>Art. 3º</w:t>
      </w:r>
      <w:r w:rsidRPr="002F5232">
        <w:rPr>
          <w:rFonts w:ascii="Times New Roman" w:hAnsi="Times New Roman" w:cs="Times New Roman"/>
        </w:rPr>
        <w:t xml:space="preserve"> A alíquota do imposto referido no subitem 22.02, aplica-se a partir da homologação do termo de adesão pela Prefeitura.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b/>
        </w:rPr>
        <w:t>Art. 4º</w:t>
      </w:r>
      <w:r w:rsidRPr="002F5232">
        <w:rPr>
          <w:rFonts w:ascii="Times New Roman" w:hAnsi="Times New Roman" w:cs="Times New Roman"/>
        </w:rPr>
        <w:t xml:space="preserve"> Após o recebimento das obras pela Secretaria da Cidade do Município, e com o fim do período homologado, a alíquota do imposto referido no subitem 22.02, passa a ser a mesma alíquota de que trata o subitem 22.01 do Anexo Único da Lei nº 2.285, de 18 de dezembro de 2013.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b/>
          <w:bCs/>
        </w:rPr>
        <w:t xml:space="preserve">Art. 5° </w:t>
      </w:r>
      <w:r w:rsidRPr="002F5232">
        <w:rPr>
          <w:rFonts w:ascii="Times New Roman" w:hAnsi="Times New Roman" w:cs="Times New Roman"/>
          <w:bCs/>
        </w:rPr>
        <w:t>O</w:t>
      </w:r>
      <w:r w:rsidRPr="002F5232">
        <w:rPr>
          <w:rFonts w:ascii="Times New Roman" w:hAnsi="Times New Roman" w:cs="Times New Roman"/>
        </w:rPr>
        <w:t xml:space="preserve"> §8º do artigo 15 da Lei nº 2.285, de 18 de dezembro de 2013, passa a vigorar com a seguinte redação.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b/>
        </w:rPr>
        <w:t>“Art. 15</w:t>
      </w:r>
      <w:proofErr w:type="gramStart"/>
      <w:r w:rsidRPr="002F5232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  <w:proofErr w:type="gramEnd"/>
    </w:p>
    <w:p w:rsidR="003F0BD5" w:rsidRPr="002F5232" w:rsidRDefault="003F0BD5" w:rsidP="003F0BD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F5232">
        <w:rPr>
          <w:rFonts w:ascii="Times New Roman" w:hAnsi="Times New Roman" w:cs="Times New Roman"/>
          <w:color w:val="FF0000"/>
        </w:rPr>
        <w:t xml:space="preserve"> 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  <w:i/>
          <w:color w:val="auto"/>
        </w:rPr>
      </w:pPr>
      <w:r w:rsidRPr="002F5232">
        <w:rPr>
          <w:rFonts w:ascii="Times New Roman" w:hAnsi="Times New Roman" w:cs="Times New Roman"/>
          <w:b/>
          <w:i/>
          <w:color w:val="auto"/>
        </w:rPr>
        <w:t>§ 8º</w:t>
      </w:r>
      <w:r w:rsidRPr="002F5232">
        <w:rPr>
          <w:rFonts w:ascii="Times New Roman" w:hAnsi="Times New Roman" w:cs="Times New Roman"/>
          <w:i/>
          <w:color w:val="auto"/>
        </w:rPr>
        <w:t xml:space="preserve"> Na prestação dos serviços a que se refere o subitem 22.01 </w:t>
      </w:r>
      <w:r w:rsidRPr="002F5232">
        <w:rPr>
          <w:rFonts w:ascii="Times New Roman" w:hAnsi="Times New Roman" w:cs="Times New Roman"/>
          <w:i/>
        </w:rPr>
        <w:t xml:space="preserve">e subitem 22.02 </w:t>
      </w:r>
      <w:r w:rsidRPr="002F5232">
        <w:rPr>
          <w:rFonts w:ascii="Times New Roman" w:hAnsi="Times New Roman" w:cs="Times New Roman"/>
          <w:i/>
          <w:color w:val="auto"/>
        </w:rPr>
        <w:t xml:space="preserve">da lista do </w:t>
      </w:r>
      <w:r w:rsidRPr="002F5232">
        <w:rPr>
          <w:rFonts w:ascii="Times New Roman" w:hAnsi="Times New Roman" w:cs="Times New Roman"/>
          <w:i/>
          <w:iCs/>
          <w:color w:val="auto"/>
        </w:rPr>
        <w:t xml:space="preserve">caput </w:t>
      </w:r>
      <w:r w:rsidRPr="002F5232">
        <w:rPr>
          <w:rFonts w:ascii="Times New Roman" w:hAnsi="Times New Roman" w:cs="Times New Roman"/>
          <w:i/>
          <w:color w:val="auto"/>
        </w:rPr>
        <w:t>do artigo 1º, o imposto devido ao Município de Sorriso será calculado sobre a receita bruta arrecadada em todos os postos de cobrança de pedágio da rodovia explorada, dividida na proporção direta da extensão da rodovia explorada dentro do território do Município de Sorriso. (</w:t>
      </w:r>
      <w:proofErr w:type="gramStart"/>
      <w:r w:rsidRPr="002F5232">
        <w:rPr>
          <w:rFonts w:ascii="Times New Roman" w:hAnsi="Times New Roman" w:cs="Times New Roman"/>
          <w:i/>
          <w:color w:val="auto"/>
        </w:rPr>
        <w:t>NR)”</w:t>
      </w:r>
      <w:proofErr w:type="gramEnd"/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b/>
        </w:rPr>
        <w:t>Art. 6º</w:t>
      </w:r>
      <w:r w:rsidRPr="002F5232">
        <w:rPr>
          <w:rFonts w:ascii="Times New Roman" w:hAnsi="Times New Roman" w:cs="Times New Roman"/>
        </w:rPr>
        <w:t xml:space="preserve"> Esta Lei será regulamentada por Decreto do Prefeito Municipal, no que couber.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2F5232">
        <w:rPr>
          <w:rFonts w:ascii="Times New Roman" w:hAnsi="Times New Roman" w:cs="Times New Roman"/>
          <w:b/>
        </w:rPr>
        <w:t>Art. 7º</w:t>
      </w:r>
      <w:r w:rsidRPr="002F5232">
        <w:rPr>
          <w:rFonts w:ascii="Times New Roman" w:hAnsi="Times New Roman" w:cs="Times New Roman"/>
        </w:rPr>
        <w:t xml:space="preserve"> Esta Lei entra em vigor na data de sua publicação.</w:t>
      </w: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2F5232" w:rsidRDefault="003F0BD5" w:rsidP="003F0BD5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3F0BD5" w:rsidRPr="00FE1A11" w:rsidRDefault="003F0BD5" w:rsidP="003F0BD5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FE1A11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16 de outubro de 2018.</w:t>
      </w:r>
    </w:p>
    <w:p w:rsidR="003F0BD5" w:rsidRPr="00FE1A11" w:rsidRDefault="003F0BD5" w:rsidP="003F0BD5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3F0BD5" w:rsidRPr="00F80A91" w:rsidRDefault="003F0BD5" w:rsidP="003F0BD5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3F0BD5" w:rsidRPr="00F80A91" w:rsidRDefault="003F0BD5" w:rsidP="003F0BD5">
      <w:pPr>
        <w:autoSpaceDE w:val="0"/>
        <w:autoSpaceDN w:val="0"/>
        <w:adjustRightInd w:val="0"/>
        <w:ind w:firstLine="1440"/>
        <w:rPr>
          <w:b/>
          <w:bCs/>
          <w:iCs/>
          <w:sz w:val="24"/>
          <w:szCs w:val="24"/>
        </w:rPr>
      </w:pPr>
    </w:p>
    <w:p w:rsidR="003F0BD5" w:rsidRPr="00F80A91" w:rsidRDefault="003F0BD5" w:rsidP="003F0BD5">
      <w:pPr>
        <w:autoSpaceDE w:val="0"/>
        <w:autoSpaceDN w:val="0"/>
        <w:adjustRightInd w:val="0"/>
        <w:ind w:firstLine="1440"/>
        <w:rPr>
          <w:b/>
          <w:bCs/>
          <w:iCs/>
          <w:sz w:val="24"/>
          <w:szCs w:val="24"/>
        </w:rPr>
      </w:pPr>
    </w:p>
    <w:p w:rsidR="003F0BD5" w:rsidRPr="00F80A91" w:rsidRDefault="003F0BD5" w:rsidP="003F0BD5">
      <w:pPr>
        <w:autoSpaceDE w:val="0"/>
        <w:autoSpaceDN w:val="0"/>
        <w:adjustRightInd w:val="0"/>
        <w:ind w:firstLine="1440"/>
        <w:rPr>
          <w:b/>
          <w:bCs/>
          <w:iCs/>
          <w:sz w:val="24"/>
          <w:szCs w:val="24"/>
        </w:rPr>
      </w:pPr>
    </w:p>
    <w:p w:rsidR="003F0BD5" w:rsidRPr="00F80A91" w:rsidRDefault="003F0BD5" w:rsidP="003F0BD5">
      <w:pPr>
        <w:ind w:left="4954" w:firstLine="710"/>
        <w:rPr>
          <w:b/>
          <w:sz w:val="24"/>
          <w:szCs w:val="24"/>
          <w:shd w:val="clear" w:color="auto" w:fill="FFFFFF"/>
        </w:rPr>
      </w:pPr>
      <w:r w:rsidRPr="00F80A91">
        <w:rPr>
          <w:b/>
          <w:sz w:val="24"/>
          <w:szCs w:val="24"/>
          <w:shd w:val="clear" w:color="auto" w:fill="FFFFFF"/>
        </w:rPr>
        <w:t>ARI GENÉZIO LAFIN</w:t>
      </w:r>
    </w:p>
    <w:p w:rsidR="003F0BD5" w:rsidRPr="00F80A91" w:rsidRDefault="003F0BD5" w:rsidP="003F0BD5">
      <w:pPr>
        <w:ind w:left="4954" w:firstLine="710"/>
        <w:rPr>
          <w:b/>
          <w:sz w:val="24"/>
          <w:szCs w:val="24"/>
          <w:shd w:val="clear" w:color="auto" w:fill="FFFFFF"/>
        </w:rPr>
      </w:pPr>
      <w:r w:rsidRPr="00F80A91">
        <w:rPr>
          <w:b/>
          <w:sz w:val="24"/>
          <w:szCs w:val="24"/>
          <w:shd w:val="clear" w:color="auto" w:fill="FFFFFF"/>
        </w:rPr>
        <w:t xml:space="preserve">     Prefeito Municipal</w:t>
      </w:r>
    </w:p>
    <w:p w:rsidR="003F0BD5" w:rsidRPr="00F80A91" w:rsidRDefault="003F0BD5" w:rsidP="003F0BD5">
      <w:pPr>
        <w:ind w:left="4954" w:firstLine="710"/>
        <w:rPr>
          <w:b/>
          <w:sz w:val="24"/>
          <w:szCs w:val="24"/>
          <w:shd w:val="clear" w:color="auto" w:fill="FFFFFF"/>
        </w:rPr>
      </w:pPr>
    </w:p>
    <w:p w:rsidR="003F0BD5" w:rsidRPr="00F80A91" w:rsidRDefault="003F0BD5" w:rsidP="003F0BD5">
      <w:pPr>
        <w:rPr>
          <w:b/>
          <w:sz w:val="24"/>
          <w:szCs w:val="24"/>
          <w:shd w:val="clear" w:color="auto" w:fill="FFFFFF"/>
        </w:rPr>
      </w:pPr>
    </w:p>
    <w:p w:rsidR="003F0BD5" w:rsidRPr="00F80A91" w:rsidRDefault="003F0BD5" w:rsidP="003F0BD5">
      <w:pPr>
        <w:rPr>
          <w:b/>
          <w:sz w:val="24"/>
          <w:szCs w:val="24"/>
          <w:shd w:val="clear" w:color="auto" w:fill="FFFFFF"/>
        </w:rPr>
      </w:pPr>
    </w:p>
    <w:p w:rsidR="003F0BD5" w:rsidRPr="00F80A91" w:rsidRDefault="003F0BD5" w:rsidP="003F0BD5">
      <w:pPr>
        <w:rPr>
          <w:b/>
          <w:sz w:val="24"/>
          <w:szCs w:val="24"/>
          <w:shd w:val="clear" w:color="auto" w:fill="FFFFFF"/>
        </w:rPr>
      </w:pPr>
      <w:r w:rsidRPr="00F80A91">
        <w:rPr>
          <w:b/>
          <w:sz w:val="24"/>
          <w:szCs w:val="24"/>
          <w:shd w:val="clear" w:color="auto" w:fill="FFFFFF"/>
        </w:rPr>
        <w:t>ESTEVAM HUNGARO CALVO FILHO</w:t>
      </w:r>
    </w:p>
    <w:p w:rsidR="003F0BD5" w:rsidRPr="00F80A91" w:rsidRDefault="003F0BD5" w:rsidP="003F0BD5">
      <w:pPr>
        <w:ind w:firstLine="708"/>
        <w:rPr>
          <w:b/>
          <w:sz w:val="24"/>
          <w:szCs w:val="24"/>
          <w:shd w:val="clear" w:color="auto" w:fill="FFFFFF"/>
        </w:rPr>
      </w:pPr>
      <w:r w:rsidRPr="00F80A91">
        <w:rPr>
          <w:b/>
          <w:sz w:val="24"/>
          <w:szCs w:val="24"/>
          <w:shd w:val="clear" w:color="auto" w:fill="FFFFFF"/>
        </w:rPr>
        <w:t>Secretário de Administração</w:t>
      </w:r>
    </w:p>
    <w:p w:rsidR="003F0BD5" w:rsidRPr="00F80A91" w:rsidRDefault="003F0BD5" w:rsidP="003F0BD5">
      <w:pPr>
        <w:autoSpaceDE w:val="0"/>
        <w:autoSpaceDN w:val="0"/>
        <w:adjustRightInd w:val="0"/>
        <w:rPr>
          <w:sz w:val="24"/>
          <w:szCs w:val="24"/>
        </w:rPr>
      </w:pPr>
      <w:r w:rsidRPr="00F80A91">
        <w:rPr>
          <w:sz w:val="24"/>
          <w:szCs w:val="24"/>
        </w:rPr>
        <w:t xml:space="preserve">   </w:t>
      </w:r>
    </w:p>
    <w:p w:rsidR="003F0BD5" w:rsidRDefault="003F0BD5" w:rsidP="003F0BD5">
      <w:pPr>
        <w:jc w:val="center"/>
        <w:rPr>
          <w:b/>
          <w:sz w:val="24"/>
          <w:szCs w:val="24"/>
        </w:rPr>
      </w:pPr>
    </w:p>
    <w:p w:rsidR="003F0BD5" w:rsidRDefault="003F0BD5" w:rsidP="003F0BD5">
      <w:pPr>
        <w:jc w:val="center"/>
        <w:rPr>
          <w:b/>
          <w:sz w:val="24"/>
          <w:szCs w:val="24"/>
        </w:rPr>
      </w:pPr>
    </w:p>
    <w:p w:rsidR="003F0BD5" w:rsidRDefault="003F0BD5" w:rsidP="003F0BD5">
      <w:pPr>
        <w:jc w:val="center"/>
        <w:rPr>
          <w:b/>
          <w:sz w:val="24"/>
          <w:szCs w:val="24"/>
        </w:rPr>
      </w:pPr>
    </w:p>
    <w:p w:rsidR="003F0BD5" w:rsidRDefault="003F0BD5" w:rsidP="003F0BD5">
      <w:pPr>
        <w:jc w:val="center"/>
        <w:rPr>
          <w:b/>
          <w:sz w:val="24"/>
          <w:szCs w:val="24"/>
        </w:rPr>
      </w:pPr>
    </w:p>
    <w:p w:rsidR="003F0BD5" w:rsidRPr="002F5232" w:rsidRDefault="003F0BD5" w:rsidP="003F0BD5">
      <w:pPr>
        <w:jc w:val="center"/>
        <w:rPr>
          <w:b/>
          <w:sz w:val="24"/>
          <w:szCs w:val="24"/>
        </w:rPr>
      </w:pPr>
      <w:r w:rsidRPr="002F5232">
        <w:rPr>
          <w:b/>
          <w:sz w:val="24"/>
          <w:szCs w:val="24"/>
        </w:rPr>
        <w:t>ANEXO ÚNICO</w:t>
      </w:r>
    </w:p>
    <w:p w:rsidR="003F0BD5" w:rsidRPr="002F5232" w:rsidRDefault="003F0BD5" w:rsidP="003F0BD5">
      <w:pPr>
        <w:jc w:val="center"/>
        <w:rPr>
          <w:b/>
          <w:sz w:val="24"/>
          <w:szCs w:val="24"/>
        </w:rPr>
      </w:pPr>
      <w:r w:rsidRPr="002F5232">
        <w:rPr>
          <w:b/>
          <w:sz w:val="24"/>
          <w:szCs w:val="24"/>
        </w:rPr>
        <w:t>CÁCULO DO IMPOSTO SOBRE SERVIÇOS DE QUALQUER NATUREZA – ISS</w:t>
      </w:r>
    </w:p>
    <w:p w:rsidR="003F0BD5" w:rsidRPr="002F5232" w:rsidRDefault="003F0BD5" w:rsidP="003F0BD5">
      <w:pPr>
        <w:jc w:val="center"/>
        <w:rPr>
          <w:b/>
          <w:sz w:val="24"/>
          <w:szCs w:val="24"/>
        </w:rPr>
      </w:pPr>
      <w:r w:rsidRPr="002F5232">
        <w:rPr>
          <w:b/>
          <w:sz w:val="24"/>
          <w:szCs w:val="24"/>
        </w:rPr>
        <w:t xml:space="preserve">DOS PRESTADORES DE SERVIÇOS </w:t>
      </w:r>
    </w:p>
    <w:p w:rsidR="003F0BD5" w:rsidRPr="002F5232" w:rsidRDefault="003F0BD5" w:rsidP="003F0BD5">
      <w:pPr>
        <w:jc w:val="center"/>
        <w:rPr>
          <w:b/>
          <w:sz w:val="24"/>
          <w:szCs w:val="24"/>
          <w:u w:val="single"/>
        </w:rPr>
      </w:pPr>
    </w:p>
    <w:p w:rsidR="003F0BD5" w:rsidRPr="002F5232" w:rsidRDefault="003F0BD5" w:rsidP="003F0BD5">
      <w:pPr>
        <w:jc w:val="center"/>
        <w:rPr>
          <w:b/>
          <w:sz w:val="24"/>
          <w:szCs w:val="24"/>
          <w:u w:val="single"/>
        </w:rPr>
      </w:pPr>
    </w:p>
    <w:p w:rsidR="003F0BD5" w:rsidRPr="002F5232" w:rsidRDefault="003F0BD5" w:rsidP="003F0BD5">
      <w:pPr>
        <w:jc w:val="center"/>
        <w:rPr>
          <w:b/>
          <w:sz w:val="24"/>
          <w:szCs w:val="24"/>
          <w:u w:val="single"/>
        </w:rPr>
      </w:pPr>
    </w:p>
    <w:p w:rsidR="003F0BD5" w:rsidRPr="00C1020B" w:rsidRDefault="003F0BD5" w:rsidP="003F0BD5">
      <w:pPr>
        <w:jc w:val="center"/>
        <w:rPr>
          <w:b/>
          <w:sz w:val="24"/>
          <w:szCs w:val="24"/>
          <w:u w:val="single"/>
        </w:rPr>
      </w:pPr>
      <w:r w:rsidRPr="00C1020B">
        <w:rPr>
          <w:b/>
          <w:sz w:val="24"/>
          <w:szCs w:val="24"/>
          <w:u w:val="single"/>
        </w:rPr>
        <w:t>TABELA 2</w:t>
      </w:r>
    </w:p>
    <w:p w:rsidR="003F0BD5" w:rsidRDefault="003F0BD5" w:rsidP="003F0BD5">
      <w:pPr>
        <w:jc w:val="center"/>
        <w:rPr>
          <w:sz w:val="24"/>
          <w:szCs w:val="24"/>
        </w:rPr>
      </w:pPr>
    </w:p>
    <w:p w:rsidR="003F0BD5" w:rsidRPr="002F5232" w:rsidRDefault="003F0BD5" w:rsidP="003F0BD5">
      <w:pPr>
        <w:jc w:val="center"/>
        <w:rPr>
          <w:sz w:val="24"/>
          <w:szCs w:val="24"/>
        </w:rPr>
      </w:pPr>
    </w:p>
    <w:p w:rsidR="003F0BD5" w:rsidRPr="002F5232" w:rsidRDefault="003F0BD5" w:rsidP="003F0BD5">
      <w:pPr>
        <w:jc w:val="center"/>
        <w:rPr>
          <w:sz w:val="24"/>
          <w:szCs w:val="24"/>
        </w:rPr>
      </w:pPr>
      <w:r w:rsidRPr="002F5232">
        <w:rPr>
          <w:sz w:val="24"/>
          <w:szCs w:val="24"/>
        </w:rPr>
        <w:t>ALÍQUOTAS PARA CÁLCULO DO VALOR DO IMPOSTO SOBRE SERVIÇOS DE QUALQUER NATUREZA APURADO COM BASE NO PREÇO DOS SERVIÇOS</w:t>
      </w:r>
    </w:p>
    <w:p w:rsidR="003F0BD5" w:rsidRDefault="003F0BD5" w:rsidP="003F0BD5">
      <w:pPr>
        <w:jc w:val="center"/>
        <w:rPr>
          <w:sz w:val="24"/>
          <w:szCs w:val="24"/>
        </w:rPr>
      </w:pPr>
    </w:p>
    <w:p w:rsidR="003F0BD5" w:rsidRPr="002F5232" w:rsidRDefault="003F0BD5" w:rsidP="003F0BD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7"/>
        <w:gridCol w:w="1418"/>
        <w:gridCol w:w="1134"/>
      </w:tblGrid>
      <w:tr w:rsidR="003F0BD5" w:rsidRPr="002F5232" w:rsidTr="00665436">
        <w:trPr>
          <w:cantSplit/>
          <w:trHeight w:val="340"/>
        </w:trPr>
        <w:tc>
          <w:tcPr>
            <w:tcW w:w="6307" w:type="dxa"/>
            <w:vAlign w:val="center"/>
          </w:tcPr>
          <w:p w:rsidR="003F0BD5" w:rsidRPr="002F5232" w:rsidRDefault="003F0BD5" w:rsidP="00665436">
            <w:pPr>
              <w:jc w:val="center"/>
              <w:rPr>
                <w:b/>
                <w:sz w:val="24"/>
                <w:szCs w:val="24"/>
              </w:rPr>
            </w:pPr>
            <w:r w:rsidRPr="002F5232">
              <w:rPr>
                <w:b/>
                <w:sz w:val="24"/>
                <w:szCs w:val="24"/>
              </w:rPr>
              <w:t>Item da Lista de Serviços (Lei n° 2.285/2013 - art. 1°)</w:t>
            </w:r>
          </w:p>
        </w:tc>
        <w:tc>
          <w:tcPr>
            <w:tcW w:w="1418" w:type="dxa"/>
            <w:vAlign w:val="center"/>
          </w:tcPr>
          <w:p w:rsidR="003F0BD5" w:rsidRPr="00E17A72" w:rsidRDefault="003F0BD5" w:rsidP="00665436">
            <w:pPr>
              <w:pStyle w:val="Ttulo"/>
              <w:rPr>
                <w:rFonts w:ascii="Times New Roman" w:hAnsi="Times New Roman"/>
                <w:bCs w:val="0"/>
                <w:color w:val="auto"/>
                <w:szCs w:val="24"/>
                <w:lang w:val="pt-BR" w:eastAsia="pt-BR"/>
              </w:rPr>
            </w:pPr>
            <w:r w:rsidRPr="00E17A72">
              <w:rPr>
                <w:rFonts w:ascii="Times New Roman" w:hAnsi="Times New Roman"/>
                <w:bCs w:val="0"/>
                <w:color w:val="auto"/>
                <w:szCs w:val="24"/>
                <w:lang w:val="pt-BR" w:eastAsia="pt-BR"/>
              </w:rPr>
              <w:t>Base de Cálculo</w:t>
            </w:r>
          </w:p>
        </w:tc>
        <w:tc>
          <w:tcPr>
            <w:tcW w:w="1134" w:type="dxa"/>
            <w:vAlign w:val="center"/>
          </w:tcPr>
          <w:p w:rsidR="003F0BD5" w:rsidRPr="00E17A72" w:rsidRDefault="003F0BD5" w:rsidP="00665436">
            <w:pPr>
              <w:pStyle w:val="Ttulo"/>
              <w:rPr>
                <w:rFonts w:ascii="Times New Roman" w:hAnsi="Times New Roman"/>
                <w:bCs w:val="0"/>
                <w:color w:val="auto"/>
                <w:szCs w:val="24"/>
                <w:lang w:val="pt-BR" w:eastAsia="pt-BR"/>
              </w:rPr>
            </w:pPr>
            <w:r w:rsidRPr="00E17A72">
              <w:rPr>
                <w:rFonts w:ascii="Times New Roman" w:hAnsi="Times New Roman"/>
                <w:bCs w:val="0"/>
                <w:color w:val="auto"/>
                <w:szCs w:val="24"/>
                <w:lang w:val="pt-BR" w:eastAsia="pt-BR"/>
              </w:rPr>
              <w:t>Alíquota</w:t>
            </w:r>
          </w:p>
        </w:tc>
      </w:tr>
      <w:tr w:rsidR="003F0BD5" w:rsidRPr="002F5232" w:rsidTr="00665436">
        <w:tc>
          <w:tcPr>
            <w:tcW w:w="6307" w:type="dxa"/>
          </w:tcPr>
          <w:p w:rsidR="003F0BD5" w:rsidRPr="002F5232" w:rsidRDefault="003F0BD5" w:rsidP="00665436">
            <w:pPr>
              <w:rPr>
                <w:b/>
                <w:sz w:val="24"/>
                <w:szCs w:val="24"/>
              </w:rPr>
            </w:pPr>
            <w:r w:rsidRPr="002F5232">
              <w:rPr>
                <w:b/>
                <w:sz w:val="24"/>
                <w:szCs w:val="24"/>
              </w:rPr>
              <w:t xml:space="preserve">22 - Serviços de exploração de rodovia. </w:t>
            </w:r>
          </w:p>
        </w:tc>
        <w:tc>
          <w:tcPr>
            <w:tcW w:w="1418" w:type="dxa"/>
          </w:tcPr>
          <w:p w:rsidR="003F0BD5" w:rsidRPr="002F5232" w:rsidRDefault="003F0BD5" w:rsidP="00665436">
            <w:pPr>
              <w:jc w:val="center"/>
              <w:rPr>
                <w:sz w:val="24"/>
                <w:szCs w:val="24"/>
              </w:rPr>
            </w:pPr>
            <w:r w:rsidRPr="002F5232">
              <w:rPr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134" w:type="dxa"/>
          </w:tcPr>
          <w:p w:rsidR="003F0BD5" w:rsidRPr="002F5232" w:rsidRDefault="003F0BD5" w:rsidP="00665436">
            <w:pPr>
              <w:jc w:val="center"/>
              <w:rPr>
                <w:sz w:val="24"/>
                <w:szCs w:val="24"/>
              </w:rPr>
            </w:pPr>
            <w:r w:rsidRPr="002F5232">
              <w:rPr>
                <w:b/>
                <w:bCs/>
                <w:sz w:val="24"/>
                <w:szCs w:val="24"/>
              </w:rPr>
              <w:t>_</w:t>
            </w:r>
          </w:p>
        </w:tc>
      </w:tr>
      <w:tr w:rsidR="003F0BD5" w:rsidRPr="002F5232" w:rsidTr="00665436">
        <w:tc>
          <w:tcPr>
            <w:tcW w:w="6307" w:type="dxa"/>
          </w:tcPr>
          <w:p w:rsidR="003F0BD5" w:rsidRPr="002F5232" w:rsidRDefault="003F0BD5" w:rsidP="00665436">
            <w:pPr>
              <w:jc w:val="both"/>
              <w:rPr>
                <w:sz w:val="24"/>
                <w:szCs w:val="24"/>
              </w:rPr>
            </w:pPr>
            <w:r w:rsidRPr="002F5232">
              <w:rPr>
                <w:sz w:val="24"/>
                <w:szCs w:val="24"/>
              </w:rPr>
              <w:t xml:space="preserve"> 22.01 </w:t>
            </w:r>
            <w:proofErr w:type="gramStart"/>
            <w:r w:rsidRPr="002F5232">
              <w:rPr>
                <w:sz w:val="24"/>
                <w:szCs w:val="24"/>
              </w:rPr>
              <w:t>- ...</w:t>
            </w:r>
            <w:proofErr w:type="gramEnd"/>
            <w:r w:rsidRPr="002F5232">
              <w:rPr>
                <w:sz w:val="24"/>
                <w:szCs w:val="24"/>
              </w:rPr>
              <w:t>..................................................................................</w:t>
            </w:r>
          </w:p>
        </w:tc>
        <w:tc>
          <w:tcPr>
            <w:tcW w:w="1418" w:type="dxa"/>
            <w:vAlign w:val="center"/>
          </w:tcPr>
          <w:p w:rsidR="003F0BD5" w:rsidRPr="00E17A72" w:rsidRDefault="003F0BD5" w:rsidP="00665436">
            <w:pPr>
              <w:pStyle w:val="Ttulo"/>
              <w:rPr>
                <w:rFonts w:ascii="Times New Roman" w:hAnsi="Times New Roman"/>
                <w:b w:val="0"/>
                <w:bCs w:val="0"/>
                <w:color w:val="auto"/>
                <w:szCs w:val="24"/>
                <w:lang w:val="pt-BR" w:eastAsia="pt-BR"/>
              </w:rPr>
            </w:pPr>
            <w:r w:rsidRPr="00E17A72">
              <w:rPr>
                <w:rFonts w:ascii="Times New Roman" w:hAnsi="Times New Roman"/>
                <w:b w:val="0"/>
                <w:bCs w:val="0"/>
                <w:color w:val="auto"/>
                <w:szCs w:val="24"/>
                <w:lang w:val="pt-BR" w:eastAsia="pt-BR"/>
              </w:rPr>
              <w:t>Preço do serviço</w:t>
            </w:r>
          </w:p>
        </w:tc>
        <w:tc>
          <w:tcPr>
            <w:tcW w:w="1134" w:type="dxa"/>
            <w:vAlign w:val="center"/>
          </w:tcPr>
          <w:p w:rsidR="003F0BD5" w:rsidRPr="00E17A72" w:rsidRDefault="003F0BD5" w:rsidP="00665436">
            <w:pPr>
              <w:pStyle w:val="Ttulo"/>
              <w:rPr>
                <w:rFonts w:ascii="Times New Roman" w:hAnsi="Times New Roman"/>
                <w:b w:val="0"/>
                <w:bCs w:val="0"/>
                <w:color w:val="auto"/>
                <w:szCs w:val="24"/>
                <w:lang w:val="pt-BR" w:eastAsia="pt-BR"/>
              </w:rPr>
            </w:pPr>
            <w:r w:rsidRPr="00E17A72">
              <w:rPr>
                <w:rFonts w:ascii="Times New Roman" w:hAnsi="Times New Roman"/>
                <w:b w:val="0"/>
                <w:bCs w:val="0"/>
                <w:color w:val="auto"/>
                <w:szCs w:val="24"/>
                <w:lang w:val="pt-BR" w:eastAsia="pt-BR"/>
              </w:rPr>
              <w:t>5%</w:t>
            </w:r>
          </w:p>
        </w:tc>
      </w:tr>
      <w:tr w:rsidR="003F0BD5" w:rsidRPr="002F5232" w:rsidTr="00665436">
        <w:tc>
          <w:tcPr>
            <w:tcW w:w="6307" w:type="dxa"/>
          </w:tcPr>
          <w:p w:rsidR="003F0BD5" w:rsidRPr="002F5232" w:rsidRDefault="003F0BD5" w:rsidP="0066543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F5232">
              <w:rPr>
                <w:rFonts w:ascii="Times New Roman" w:hAnsi="Times New Roman" w:cs="Times New Roman"/>
                <w:i/>
                <w:color w:val="auto"/>
              </w:rPr>
              <w:t>22.02 – Serviços de exploração de rodovia mediante cobrança de preço ou pedágio dos usuários, envolvendo execução de serviços de conservação, manutenção, melhoramentos para adequação de capacidade e segurança de trânsito, operação, monitoração, assistência aos usuários e outros serviços definidos em contratos, atos de concessão ou de permissão ou em normas oficiais</w:t>
            </w:r>
            <w:r w:rsidRPr="002F5232">
              <w:rPr>
                <w:rFonts w:ascii="Times New Roman" w:hAnsi="Times New Roman" w:cs="Times New Roman"/>
                <w:i/>
              </w:rPr>
              <w:t xml:space="preserve">, de concessionárias, e desde que formalize a adesão a programas de obras de infraestrutura de responsabilidade do Município a preços de referência de órgãos oficiais excluindo-se os </w:t>
            </w:r>
            <w:proofErr w:type="spellStart"/>
            <w:r w:rsidRPr="002F5232">
              <w:rPr>
                <w:rFonts w:ascii="Times New Roman" w:hAnsi="Times New Roman" w:cs="Times New Roman"/>
                <w:i/>
              </w:rPr>
              <w:t>BDIs</w:t>
            </w:r>
            <w:proofErr w:type="spellEnd"/>
            <w:r w:rsidRPr="002F5232">
              <w:rPr>
                <w:rFonts w:ascii="Times New Roman" w:hAnsi="Times New Roman" w:cs="Times New Roman"/>
                <w:i/>
              </w:rPr>
              <w:t xml:space="preserve"> – Bônus de Despesas Indiretas, pelo tempo aprovado e homologado pelo Município.</w:t>
            </w:r>
          </w:p>
        </w:tc>
        <w:tc>
          <w:tcPr>
            <w:tcW w:w="1418" w:type="dxa"/>
            <w:vAlign w:val="center"/>
          </w:tcPr>
          <w:p w:rsidR="003F0BD5" w:rsidRPr="00E17A72" w:rsidRDefault="003F0BD5" w:rsidP="00665436">
            <w:pPr>
              <w:pStyle w:val="Ttulo"/>
              <w:rPr>
                <w:rFonts w:ascii="Times New Roman" w:hAnsi="Times New Roman"/>
                <w:b w:val="0"/>
                <w:bCs w:val="0"/>
                <w:color w:val="auto"/>
                <w:szCs w:val="24"/>
                <w:lang w:val="pt-BR" w:eastAsia="pt-BR"/>
              </w:rPr>
            </w:pPr>
            <w:r w:rsidRPr="00E17A72">
              <w:rPr>
                <w:rFonts w:ascii="Times New Roman" w:hAnsi="Times New Roman"/>
                <w:b w:val="0"/>
                <w:bCs w:val="0"/>
                <w:color w:val="auto"/>
                <w:szCs w:val="24"/>
                <w:lang w:val="pt-BR" w:eastAsia="pt-BR"/>
              </w:rPr>
              <w:t>Preço do serviço</w:t>
            </w:r>
          </w:p>
        </w:tc>
        <w:tc>
          <w:tcPr>
            <w:tcW w:w="1134" w:type="dxa"/>
            <w:vAlign w:val="center"/>
          </w:tcPr>
          <w:p w:rsidR="003F0BD5" w:rsidRPr="00E17A72" w:rsidRDefault="003F0BD5" w:rsidP="00665436">
            <w:pPr>
              <w:pStyle w:val="Ttulo"/>
              <w:rPr>
                <w:rFonts w:ascii="Times New Roman" w:hAnsi="Times New Roman"/>
                <w:b w:val="0"/>
                <w:bCs w:val="0"/>
                <w:color w:val="auto"/>
                <w:szCs w:val="24"/>
                <w:lang w:val="pt-BR" w:eastAsia="pt-BR"/>
              </w:rPr>
            </w:pPr>
            <w:r w:rsidRPr="00E17A72">
              <w:rPr>
                <w:rFonts w:ascii="Times New Roman" w:hAnsi="Times New Roman"/>
                <w:b w:val="0"/>
                <w:bCs w:val="0"/>
                <w:color w:val="auto"/>
                <w:szCs w:val="24"/>
                <w:lang w:val="pt-BR" w:eastAsia="pt-BR"/>
              </w:rPr>
              <w:t>2%</w:t>
            </w:r>
          </w:p>
        </w:tc>
      </w:tr>
    </w:tbl>
    <w:p w:rsidR="003F0BD5" w:rsidRPr="002F5232" w:rsidRDefault="003F0BD5" w:rsidP="003F0BD5">
      <w:pPr>
        <w:rPr>
          <w:b/>
          <w:iCs/>
          <w:sz w:val="24"/>
          <w:szCs w:val="24"/>
        </w:rPr>
      </w:pPr>
    </w:p>
    <w:p w:rsidR="003F0BD5" w:rsidRDefault="003F0BD5" w:rsidP="003F0BD5"/>
    <w:p w:rsidR="00DB0772" w:rsidRDefault="00DB0772">
      <w:bookmarkStart w:id="0" w:name="_GoBack"/>
      <w:bookmarkEnd w:id="0"/>
    </w:p>
    <w:sectPr w:rsidR="00DB0772" w:rsidSect="009843E6">
      <w:headerReference w:type="default" r:id="rId5"/>
      <w:pgSz w:w="11907" w:h="16840" w:code="9"/>
      <w:pgMar w:top="2552" w:right="1134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DB0772">
    <w:pPr>
      <w:jc w:val="center"/>
      <w:rPr>
        <w:b/>
        <w:sz w:val="28"/>
      </w:rPr>
    </w:pPr>
  </w:p>
  <w:p w:rsidR="001F0D2F" w:rsidRDefault="00DB07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F0BD5"/>
    <w:rsid w:val="00A906D8"/>
    <w:rsid w:val="00AB5A74"/>
    <w:rsid w:val="00DB077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F0B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F0B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F0BD5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F0BD5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F0BD5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F0BD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Default">
    <w:name w:val="Default"/>
    <w:rsid w:val="003F0B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3F0BD5"/>
    <w:pPr>
      <w:autoSpaceDE w:val="0"/>
      <w:autoSpaceDN w:val="0"/>
      <w:adjustRightInd w:val="0"/>
      <w:jc w:val="center"/>
    </w:pPr>
    <w:rPr>
      <w:rFonts w:ascii="Arial" w:eastAsia="Times New Roman" w:hAnsi="Arial" w:cs="Times New Roman"/>
      <w:b/>
      <w:bCs/>
      <w:color w:val="000000"/>
      <w:sz w:val="24"/>
      <w:szCs w:val="19"/>
      <w:lang w:val="x-none" w:eastAsia="x-none"/>
    </w:rPr>
  </w:style>
  <w:style w:type="character" w:customStyle="1" w:styleId="TtuloChar">
    <w:name w:val="Título Char"/>
    <w:basedOn w:val="Fontepargpadro"/>
    <w:link w:val="Ttulo"/>
    <w:rsid w:val="003F0BD5"/>
    <w:rPr>
      <w:rFonts w:ascii="Arial" w:eastAsia="Times New Roman" w:hAnsi="Arial" w:cs="Times New Roman"/>
      <w:b/>
      <w:bCs/>
      <w:color w:val="000000"/>
      <w:sz w:val="24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2018-11-01T11:15:00Z</dcterms:created>
  <dcterms:modified xsi:type="dcterms:W3CDTF">2018-11-01T11:15:00Z</dcterms:modified>
</cp:coreProperties>
</file>