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A7" w:rsidRPr="00C52566" w:rsidRDefault="00D17127" w:rsidP="00C5256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52566">
        <w:rPr>
          <w:rFonts w:ascii="Times New Roman" w:hAnsi="Times New Roman" w:cs="Times New Roman"/>
          <w:b/>
          <w:bCs/>
          <w:sz w:val="23"/>
          <w:szCs w:val="23"/>
        </w:rPr>
        <w:t>PROJETO DE LEI</w:t>
      </w:r>
      <w:r w:rsidR="006740A7" w:rsidRPr="00C5256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E3E7F" w:rsidRPr="00C52566">
        <w:rPr>
          <w:rFonts w:ascii="Times New Roman" w:hAnsi="Times New Roman" w:cs="Times New Roman"/>
          <w:b/>
          <w:bCs/>
          <w:sz w:val="23"/>
          <w:szCs w:val="23"/>
        </w:rPr>
        <w:t>N</w:t>
      </w:r>
      <w:r w:rsidR="006740A7" w:rsidRPr="00C52566">
        <w:rPr>
          <w:rFonts w:ascii="Times New Roman" w:hAnsi="Times New Roman" w:cs="Times New Roman"/>
          <w:b/>
          <w:bCs/>
          <w:sz w:val="23"/>
          <w:szCs w:val="23"/>
        </w:rPr>
        <w:t>º</w:t>
      </w:r>
      <w:r w:rsidR="00C52566" w:rsidRPr="00C52566">
        <w:rPr>
          <w:rFonts w:ascii="Times New Roman" w:hAnsi="Times New Roman" w:cs="Times New Roman"/>
          <w:b/>
          <w:bCs/>
          <w:sz w:val="23"/>
          <w:szCs w:val="23"/>
        </w:rPr>
        <w:t xml:space="preserve"> 26</w:t>
      </w:r>
      <w:r w:rsidR="00FC6203" w:rsidRPr="00C52566">
        <w:rPr>
          <w:rFonts w:ascii="Times New Roman" w:hAnsi="Times New Roman" w:cs="Times New Roman"/>
          <w:b/>
          <w:bCs/>
          <w:sz w:val="23"/>
          <w:szCs w:val="23"/>
        </w:rPr>
        <w:t>/2019</w:t>
      </w:r>
      <w:r w:rsidR="00C52566" w:rsidRPr="00C52566">
        <w:rPr>
          <w:rFonts w:ascii="Times New Roman" w:hAnsi="Times New Roman" w:cs="Times New Roman"/>
          <w:b/>
          <w:bCs/>
          <w:sz w:val="23"/>
          <w:szCs w:val="23"/>
        </w:rPr>
        <w:t xml:space="preserve"> -</w:t>
      </w:r>
      <w:r w:rsidR="009E3E7F" w:rsidRPr="00C52566">
        <w:rPr>
          <w:rFonts w:ascii="Times New Roman" w:hAnsi="Times New Roman" w:cs="Times New Roman"/>
          <w:b/>
          <w:bCs/>
          <w:sz w:val="23"/>
          <w:szCs w:val="23"/>
        </w:rPr>
        <w:t xml:space="preserve"> S</w:t>
      </w:r>
      <w:r w:rsidR="00C52566" w:rsidRPr="00C52566">
        <w:rPr>
          <w:rFonts w:ascii="Times New Roman" w:hAnsi="Times New Roman" w:cs="Times New Roman"/>
          <w:b/>
          <w:bCs/>
          <w:sz w:val="23"/>
          <w:szCs w:val="23"/>
        </w:rPr>
        <w:t>ubstitutivo ao Projeto de Lei n</w:t>
      </w:r>
      <w:r w:rsidR="009E3E7F" w:rsidRPr="00C52566">
        <w:rPr>
          <w:rFonts w:ascii="Times New Roman" w:hAnsi="Times New Roman" w:cs="Times New Roman"/>
          <w:b/>
          <w:bCs/>
          <w:sz w:val="23"/>
          <w:szCs w:val="23"/>
        </w:rPr>
        <w:t>º 06/2019</w:t>
      </w:r>
    </w:p>
    <w:p w:rsidR="006740A7" w:rsidRPr="00C52566" w:rsidRDefault="006740A7" w:rsidP="00C5256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71293" w:rsidRPr="00C52566" w:rsidRDefault="00C52566" w:rsidP="00C5256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52566">
        <w:rPr>
          <w:rFonts w:ascii="Times New Roman" w:hAnsi="Times New Roman" w:cs="Times New Roman"/>
          <w:bCs/>
          <w:sz w:val="23"/>
          <w:szCs w:val="23"/>
        </w:rPr>
        <w:t>Data</w:t>
      </w:r>
      <w:r w:rsidR="006740A7" w:rsidRPr="00C52566">
        <w:rPr>
          <w:rFonts w:ascii="Times New Roman" w:hAnsi="Times New Roman" w:cs="Times New Roman"/>
          <w:bCs/>
          <w:sz w:val="23"/>
          <w:szCs w:val="23"/>
        </w:rPr>
        <w:t>:</w:t>
      </w:r>
      <w:r w:rsidR="006740A7" w:rsidRPr="00C5256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33ACE" w:rsidRPr="00C52566">
        <w:rPr>
          <w:rFonts w:ascii="Times New Roman" w:hAnsi="Times New Roman" w:cs="Times New Roman"/>
          <w:bCs/>
          <w:sz w:val="23"/>
          <w:szCs w:val="23"/>
        </w:rPr>
        <w:t>20</w:t>
      </w:r>
      <w:r w:rsidR="006740A7" w:rsidRPr="00C52566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 w:rsidR="00E9054B" w:rsidRPr="00C52566">
        <w:rPr>
          <w:rFonts w:ascii="Times New Roman" w:hAnsi="Times New Roman" w:cs="Times New Roman"/>
          <w:bCs/>
          <w:sz w:val="23"/>
          <w:szCs w:val="23"/>
        </w:rPr>
        <w:t>março</w:t>
      </w:r>
      <w:r w:rsidR="006740A7" w:rsidRPr="00C52566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 w:rsidR="00FC6203" w:rsidRPr="00C52566">
        <w:rPr>
          <w:rFonts w:ascii="Times New Roman" w:hAnsi="Times New Roman" w:cs="Times New Roman"/>
          <w:bCs/>
          <w:sz w:val="23"/>
          <w:szCs w:val="23"/>
        </w:rPr>
        <w:t>2019</w:t>
      </w:r>
    </w:p>
    <w:p w:rsidR="003E0741" w:rsidRPr="00C52566" w:rsidRDefault="003E0741" w:rsidP="00C52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71293" w:rsidRPr="00C52566" w:rsidRDefault="001826B8" w:rsidP="00C525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kern w:val="36"/>
          <w:sz w:val="23"/>
          <w:szCs w:val="23"/>
        </w:rPr>
      </w:pPr>
      <w:r w:rsidRPr="00C52566">
        <w:rPr>
          <w:rFonts w:ascii="Times New Roman" w:hAnsi="Times New Roman" w:cs="Times New Roman"/>
          <w:sz w:val="23"/>
          <w:szCs w:val="23"/>
        </w:rPr>
        <w:t>Cria inciso IV</w:t>
      </w:r>
      <w:r w:rsidR="00B81B3A" w:rsidRPr="00C52566">
        <w:rPr>
          <w:rFonts w:ascii="Times New Roman" w:hAnsi="Times New Roman" w:cs="Times New Roman"/>
          <w:sz w:val="23"/>
          <w:szCs w:val="23"/>
        </w:rPr>
        <w:t xml:space="preserve"> </w:t>
      </w:r>
      <w:r w:rsidR="003A4E9D" w:rsidRPr="00C52566">
        <w:rPr>
          <w:rFonts w:ascii="Times New Roman" w:hAnsi="Times New Roman" w:cs="Times New Roman"/>
          <w:sz w:val="23"/>
          <w:szCs w:val="23"/>
        </w:rPr>
        <w:t>e alíneas a,</w:t>
      </w:r>
      <w:r w:rsidR="00472A90" w:rsidRPr="00C52566">
        <w:rPr>
          <w:rFonts w:ascii="Times New Roman" w:hAnsi="Times New Roman" w:cs="Times New Roman"/>
          <w:sz w:val="23"/>
          <w:szCs w:val="23"/>
        </w:rPr>
        <w:t xml:space="preserve"> b </w:t>
      </w:r>
      <w:r w:rsidR="003A4E9D" w:rsidRPr="00C52566">
        <w:rPr>
          <w:rFonts w:ascii="Times New Roman" w:hAnsi="Times New Roman" w:cs="Times New Roman"/>
          <w:sz w:val="23"/>
          <w:szCs w:val="23"/>
        </w:rPr>
        <w:t xml:space="preserve">e c </w:t>
      </w:r>
      <w:r w:rsidR="00472A90" w:rsidRPr="00C52566">
        <w:rPr>
          <w:rFonts w:ascii="Times New Roman" w:hAnsi="Times New Roman" w:cs="Times New Roman"/>
          <w:sz w:val="23"/>
          <w:szCs w:val="23"/>
        </w:rPr>
        <w:t>ao inciso IV do</w:t>
      </w:r>
      <w:r w:rsidR="00ED4CFF" w:rsidRPr="00C52566">
        <w:rPr>
          <w:rFonts w:ascii="Times New Roman" w:hAnsi="Times New Roman" w:cs="Times New Roman"/>
          <w:sz w:val="23"/>
          <w:szCs w:val="23"/>
        </w:rPr>
        <w:t xml:space="preserve"> art.</w:t>
      </w:r>
      <w:r w:rsidR="00472A90" w:rsidRPr="00C52566">
        <w:rPr>
          <w:rFonts w:ascii="Times New Roman" w:hAnsi="Times New Roman" w:cs="Times New Roman"/>
          <w:sz w:val="23"/>
          <w:szCs w:val="23"/>
        </w:rPr>
        <w:t xml:space="preserve"> 65, da Lei Municipal</w:t>
      </w:r>
      <w:r w:rsidRPr="00C52566">
        <w:rPr>
          <w:rFonts w:ascii="Times New Roman" w:hAnsi="Times New Roman" w:cs="Times New Roman"/>
          <w:sz w:val="23"/>
          <w:szCs w:val="23"/>
        </w:rPr>
        <w:t xml:space="preserve"> nº 2.284, de 18 de dezembro de 2013</w:t>
      </w:r>
      <w:r w:rsidR="00D01237" w:rsidRPr="00C52566">
        <w:rPr>
          <w:rFonts w:ascii="Times New Roman" w:eastAsia="Times New Roman" w:hAnsi="Times New Roman" w:cs="Times New Roman"/>
          <w:bCs/>
          <w:kern w:val="36"/>
          <w:sz w:val="23"/>
          <w:szCs w:val="23"/>
        </w:rPr>
        <w:t>, e dá outras providências.</w:t>
      </w:r>
    </w:p>
    <w:p w:rsidR="00B40A76" w:rsidRPr="00C52566" w:rsidRDefault="00B40A76" w:rsidP="00C525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3E0741" w:rsidRPr="00C52566" w:rsidRDefault="003E0741" w:rsidP="00C525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B40A76" w:rsidRPr="00C52566" w:rsidRDefault="006740A7" w:rsidP="00C5256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C52566">
        <w:rPr>
          <w:rFonts w:ascii="Times New Roman" w:hAnsi="Times New Roman" w:cs="Times New Roman"/>
          <w:b/>
          <w:sz w:val="23"/>
          <w:szCs w:val="23"/>
        </w:rPr>
        <w:t xml:space="preserve">NEREU BRESOLIN </w:t>
      </w:r>
      <w:r w:rsidR="008D7026" w:rsidRPr="00C52566">
        <w:rPr>
          <w:rFonts w:ascii="Times New Roman" w:hAnsi="Times New Roman" w:cs="Times New Roman"/>
          <w:b/>
          <w:sz w:val="23"/>
          <w:szCs w:val="23"/>
        </w:rPr>
        <w:t>– DEM</w:t>
      </w:r>
      <w:r w:rsidR="00082D33" w:rsidRPr="00C52566">
        <w:rPr>
          <w:rFonts w:ascii="Times New Roman" w:hAnsi="Times New Roman" w:cs="Times New Roman"/>
          <w:b/>
          <w:sz w:val="23"/>
          <w:szCs w:val="23"/>
        </w:rPr>
        <w:t>,</w:t>
      </w:r>
      <w:r w:rsidR="00FD6561" w:rsidRPr="00C52566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082D33" w:rsidRPr="00C52566">
        <w:rPr>
          <w:rFonts w:ascii="Times New Roman" w:hAnsi="Times New Roman" w:cs="Times New Roman"/>
          <w:b/>
          <w:sz w:val="23"/>
          <w:szCs w:val="23"/>
        </w:rPr>
        <w:t>DAMIANI NA TV – PSC, DIRCEU ZANATTA – MDB, ELISA ABRAHÃO – PRP e TOCO BAGGIO – PSDB</w:t>
      </w:r>
      <w:r w:rsidR="00FD6561" w:rsidRPr="00C52566">
        <w:rPr>
          <w:rFonts w:ascii="Times New Roman" w:hAnsi="Times New Roman" w:cs="Times New Roman"/>
          <w:bCs/>
          <w:color w:val="000000"/>
          <w:sz w:val="23"/>
          <w:szCs w:val="23"/>
        </w:rPr>
        <w:t>,</w:t>
      </w:r>
      <w:r w:rsidR="003E0741" w:rsidRPr="00C52566">
        <w:rPr>
          <w:rFonts w:ascii="Times New Roman" w:hAnsi="Times New Roman" w:cs="Times New Roman"/>
          <w:sz w:val="23"/>
          <w:szCs w:val="23"/>
        </w:rPr>
        <w:t xml:space="preserve"> </w:t>
      </w:r>
      <w:r w:rsidR="00C52566" w:rsidRPr="00C52566">
        <w:rPr>
          <w:rFonts w:ascii="Times New Roman" w:hAnsi="Times New Roman" w:cs="Times New Roman"/>
          <w:sz w:val="23"/>
          <w:szCs w:val="23"/>
        </w:rPr>
        <w:t>vereadores c</w:t>
      </w:r>
      <w:r w:rsidR="00CF3294" w:rsidRPr="00C52566">
        <w:rPr>
          <w:rFonts w:ascii="Times New Roman" w:hAnsi="Times New Roman" w:cs="Times New Roman"/>
          <w:sz w:val="23"/>
          <w:szCs w:val="23"/>
        </w:rPr>
        <w:t>om assento nesta C</w:t>
      </w:r>
      <w:r w:rsidR="007E3859" w:rsidRPr="00C52566">
        <w:rPr>
          <w:rFonts w:ascii="Times New Roman" w:hAnsi="Times New Roman" w:cs="Times New Roman"/>
          <w:sz w:val="23"/>
          <w:szCs w:val="23"/>
        </w:rPr>
        <w:t>asa</w:t>
      </w:r>
      <w:r w:rsidR="00B40A76" w:rsidRPr="00C52566">
        <w:rPr>
          <w:rFonts w:ascii="Times New Roman" w:hAnsi="Times New Roman" w:cs="Times New Roman"/>
          <w:sz w:val="23"/>
          <w:szCs w:val="23"/>
        </w:rPr>
        <w:t>,</w:t>
      </w:r>
      <w:r w:rsidR="008D7026" w:rsidRPr="00C52566">
        <w:rPr>
          <w:rFonts w:ascii="Times New Roman" w:hAnsi="Times New Roman" w:cs="Times New Roman"/>
          <w:sz w:val="23"/>
          <w:szCs w:val="23"/>
        </w:rPr>
        <w:t xml:space="preserve"> em conformidade com o</w:t>
      </w:r>
      <w:r w:rsidR="00F67516" w:rsidRPr="00C52566">
        <w:rPr>
          <w:rFonts w:ascii="Times New Roman" w:hAnsi="Times New Roman" w:cs="Times New Roman"/>
          <w:sz w:val="23"/>
          <w:szCs w:val="23"/>
        </w:rPr>
        <w:t xml:space="preserve"> a</w:t>
      </w:r>
      <w:r w:rsidR="00CF3294" w:rsidRPr="00C52566">
        <w:rPr>
          <w:rFonts w:ascii="Times New Roman" w:hAnsi="Times New Roman" w:cs="Times New Roman"/>
          <w:sz w:val="23"/>
          <w:szCs w:val="23"/>
        </w:rPr>
        <w:t>rtigo 108</w:t>
      </w:r>
      <w:r w:rsidR="003E0741" w:rsidRPr="00C52566">
        <w:rPr>
          <w:rFonts w:ascii="Times New Roman" w:hAnsi="Times New Roman" w:cs="Times New Roman"/>
          <w:sz w:val="23"/>
          <w:szCs w:val="23"/>
        </w:rPr>
        <w:t xml:space="preserve"> do Regimento Interno, </w:t>
      </w:r>
      <w:r w:rsidR="00CF3294" w:rsidRPr="00C52566">
        <w:rPr>
          <w:rFonts w:ascii="Times New Roman" w:hAnsi="Times New Roman" w:cs="Times New Roman"/>
          <w:sz w:val="23"/>
          <w:szCs w:val="23"/>
        </w:rPr>
        <w:t>propõe</w:t>
      </w:r>
      <w:r w:rsidR="00FD6561" w:rsidRPr="00C52566">
        <w:rPr>
          <w:rFonts w:ascii="Times New Roman" w:hAnsi="Times New Roman" w:cs="Times New Roman"/>
          <w:sz w:val="23"/>
          <w:szCs w:val="23"/>
        </w:rPr>
        <w:t>m</w:t>
      </w:r>
      <w:r w:rsidR="00CF3294" w:rsidRPr="00C52566">
        <w:rPr>
          <w:rFonts w:ascii="Times New Roman" w:hAnsi="Times New Roman" w:cs="Times New Roman"/>
          <w:sz w:val="23"/>
          <w:szCs w:val="23"/>
        </w:rPr>
        <w:t xml:space="preserve"> o seguinte Projeto de L</w:t>
      </w:r>
      <w:r w:rsidR="007E3859" w:rsidRPr="00C52566">
        <w:rPr>
          <w:rFonts w:ascii="Times New Roman" w:hAnsi="Times New Roman" w:cs="Times New Roman"/>
          <w:sz w:val="23"/>
          <w:szCs w:val="23"/>
        </w:rPr>
        <w:t>ei</w:t>
      </w:r>
      <w:r w:rsidR="008D7026" w:rsidRPr="00C52566">
        <w:rPr>
          <w:rFonts w:ascii="Times New Roman" w:hAnsi="Times New Roman" w:cs="Times New Roman"/>
          <w:sz w:val="23"/>
          <w:szCs w:val="23"/>
        </w:rPr>
        <w:t>:</w:t>
      </w:r>
    </w:p>
    <w:p w:rsidR="00B71293" w:rsidRPr="00C52566" w:rsidRDefault="00B71293" w:rsidP="00C52566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3"/>
          <w:szCs w:val="23"/>
        </w:rPr>
      </w:pPr>
    </w:p>
    <w:p w:rsidR="00B40A76" w:rsidRPr="00C52566" w:rsidRDefault="00B40A76" w:rsidP="00C52566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3"/>
          <w:szCs w:val="23"/>
        </w:rPr>
      </w:pPr>
    </w:p>
    <w:p w:rsidR="00ED4CFF" w:rsidRPr="00C52566" w:rsidRDefault="009A4333" w:rsidP="00C5256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2566">
        <w:rPr>
          <w:rFonts w:ascii="Times New Roman" w:eastAsia="Times New Roman" w:hAnsi="Times New Roman" w:cs="Times New Roman"/>
          <w:b/>
          <w:sz w:val="23"/>
          <w:szCs w:val="23"/>
        </w:rPr>
        <w:t>Art. 1º</w:t>
      </w:r>
      <w:r w:rsidR="00ED4CFF" w:rsidRPr="00C52566">
        <w:rPr>
          <w:rFonts w:ascii="Times New Roman" w:eastAsia="Times New Roman" w:hAnsi="Times New Roman" w:cs="Times New Roman"/>
          <w:sz w:val="23"/>
          <w:szCs w:val="23"/>
        </w:rPr>
        <w:t xml:space="preserve"> Fica criado inciso IV ao art. 65, da Lei Municipal nº 2.284/2013, que passa a vigorar com a seguinte redação:</w:t>
      </w:r>
    </w:p>
    <w:p w:rsidR="00ED4CFF" w:rsidRPr="00C52566" w:rsidRDefault="00ED4CFF" w:rsidP="00C5256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D4CFF" w:rsidRPr="00C52566" w:rsidRDefault="00ED4CFF" w:rsidP="00C525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52566">
        <w:rPr>
          <w:rFonts w:ascii="Times New Roman" w:hAnsi="Times New Roman" w:cs="Times New Roman"/>
          <w:sz w:val="23"/>
          <w:szCs w:val="23"/>
        </w:rPr>
        <w:t>“</w:t>
      </w:r>
      <w:r w:rsidRPr="00C52566">
        <w:rPr>
          <w:rFonts w:ascii="Times New Roman" w:hAnsi="Times New Roman" w:cs="Times New Roman"/>
          <w:b/>
          <w:sz w:val="23"/>
          <w:szCs w:val="23"/>
        </w:rPr>
        <w:t xml:space="preserve">Art. </w:t>
      </w:r>
      <w:proofErr w:type="gramStart"/>
      <w:r w:rsidRPr="00C52566">
        <w:rPr>
          <w:rFonts w:ascii="Times New Roman" w:hAnsi="Times New Roman" w:cs="Times New Roman"/>
          <w:b/>
          <w:sz w:val="23"/>
          <w:szCs w:val="23"/>
        </w:rPr>
        <w:t>65</w:t>
      </w:r>
      <w:r w:rsidRPr="00C52566">
        <w:rPr>
          <w:rFonts w:ascii="Times New Roman" w:hAnsi="Times New Roman" w:cs="Times New Roman"/>
          <w:sz w:val="23"/>
          <w:szCs w:val="23"/>
        </w:rPr>
        <w:t xml:space="preserve"> ...</w:t>
      </w:r>
      <w:proofErr w:type="gramEnd"/>
    </w:p>
    <w:p w:rsidR="00ED4CFF" w:rsidRPr="00C52566" w:rsidRDefault="00ED4CFF" w:rsidP="00C525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52566">
        <w:rPr>
          <w:rFonts w:ascii="Times New Roman" w:hAnsi="Times New Roman" w:cs="Times New Roman"/>
          <w:sz w:val="23"/>
          <w:szCs w:val="23"/>
        </w:rPr>
        <w:t>...</w:t>
      </w:r>
    </w:p>
    <w:p w:rsidR="00F158D7" w:rsidRPr="00C52566" w:rsidRDefault="00ED4CFF" w:rsidP="00C525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2566">
        <w:rPr>
          <w:rFonts w:ascii="Times New Roman" w:hAnsi="Times New Roman" w:cs="Times New Roman"/>
          <w:sz w:val="23"/>
          <w:szCs w:val="23"/>
        </w:rPr>
        <w:t>IV o proprietário</w:t>
      </w:r>
      <w:r w:rsidR="003A4E9D" w:rsidRPr="00C52566">
        <w:rPr>
          <w:rFonts w:ascii="Times New Roman" w:hAnsi="Times New Roman" w:cs="Times New Roman"/>
          <w:sz w:val="23"/>
          <w:szCs w:val="23"/>
        </w:rPr>
        <w:t xml:space="preserve">, </w:t>
      </w:r>
      <w:r w:rsidR="003A4E9D" w:rsidRPr="00C52566">
        <w:rPr>
          <w:rFonts w:ascii="Times New Roman" w:hAnsi="Times New Roman"/>
          <w:sz w:val="23"/>
          <w:szCs w:val="23"/>
        </w:rPr>
        <w:t>titular de domínio útil ou possuidor a qualquer título de imóvel,</w:t>
      </w:r>
      <w:r w:rsidRPr="00C52566">
        <w:rPr>
          <w:rFonts w:ascii="Times New Roman" w:hAnsi="Times New Roman" w:cs="Times New Roman"/>
          <w:sz w:val="23"/>
          <w:szCs w:val="23"/>
        </w:rPr>
        <w:t xml:space="preserve"> </w:t>
      </w:r>
      <w:r w:rsidRPr="00C52566">
        <w:rPr>
          <w:rFonts w:ascii="Times New Roman" w:eastAsia="Times New Roman" w:hAnsi="Times New Roman" w:cs="Times New Roman"/>
          <w:sz w:val="23"/>
          <w:szCs w:val="23"/>
        </w:rPr>
        <w:t>que adotar uma criança, bem como aquele que tenha a</w:t>
      </w:r>
      <w:r w:rsidR="003A4E9D" w:rsidRPr="00C52566">
        <w:rPr>
          <w:rFonts w:ascii="Times New Roman" w:eastAsia="Times New Roman" w:hAnsi="Times New Roman" w:cs="Times New Roman"/>
          <w:sz w:val="23"/>
          <w:szCs w:val="23"/>
        </w:rPr>
        <w:t>ssumido a sua guarda definitiva, observadas as seguintes condições:</w:t>
      </w:r>
    </w:p>
    <w:p w:rsidR="00472A90" w:rsidRPr="00C52566" w:rsidRDefault="00472A90" w:rsidP="00C525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72A90" w:rsidRPr="00C52566" w:rsidRDefault="00472A90" w:rsidP="00C525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52566">
        <w:rPr>
          <w:rFonts w:ascii="Times New Roman" w:hAnsi="Times New Roman" w:cs="Times New Roman"/>
          <w:b/>
          <w:sz w:val="23"/>
          <w:szCs w:val="23"/>
        </w:rPr>
        <w:t>Art. 2º</w:t>
      </w:r>
      <w:r w:rsidRPr="00C52566">
        <w:rPr>
          <w:rFonts w:ascii="Times New Roman" w:hAnsi="Times New Roman" w:cs="Times New Roman"/>
          <w:sz w:val="23"/>
          <w:szCs w:val="23"/>
        </w:rPr>
        <w:t xml:space="preserve"> Ficam criadas al</w:t>
      </w:r>
      <w:r w:rsidR="003A4E9D" w:rsidRPr="00C52566">
        <w:rPr>
          <w:rFonts w:ascii="Times New Roman" w:hAnsi="Times New Roman" w:cs="Times New Roman"/>
          <w:sz w:val="23"/>
          <w:szCs w:val="23"/>
        </w:rPr>
        <w:t>íneas a, b e c</w:t>
      </w:r>
      <w:r w:rsidRPr="00C52566">
        <w:rPr>
          <w:rFonts w:ascii="Times New Roman" w:hAnsi="Times New Roman" w:cs="Times New Roman"/>
          <w:sz w:val="23"/>
          <w:szCs w:val="23"/>
        </w:rPr>
        <w:t xml:space="preserve"> ao inciso IV ao art. 65, da Lei Municipal nº 2.284/2013, que passam a vigorar com a seguinte redação:</w:t>
      </w:r>
    </w:p>
    <w:p w:rsidR="00472A90" w:rsidRPr="00C52566" w:rsidRDefault="00472A90" w:rsidP="00C525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52566">
        <w:rPr>
          <w:rFonts w:ascii="Times New Roman" w:hAnsi="Times New Roman" w:cs="Times New Roman"/>
          <w:sz w:val="23"/>
          <w:szCs w:val="23"/>
        </w:rPr>
        <w:t>IV ...</w:t>
      </w:r>
      <w:proofErr w:type="gramEnd"/>
    </w:p>
    <w:p w:rsidR="00ED4CFF" w:rsidRPr="00C52566" w:rsidRDefault="00ED4CFF" w:rsidP="00C525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2566">
        <w:rPr>
          <w:rFonts w:ascii="Times New Roman" w:hAnsi="Times New Roman" w:cs="Times New Roman"/>
          <w:sz w:val="23"/>
          <w:szCs w:val="23"/>
        </w:rPr>
        <w:t xml:space="preserve">a) </w:t>
      </w:r>
      <w:r w:rsidRPr="00C52566">
        <w:rPr>
          <w:rFonts w:ascii="Times New Roman" w:eastAsia="Times New Roman" w:hAnsi="Times New Roman" w:cs="Times New Roman"/>
          <w:sz w:val="23"/>
          <w:szCs w:val="23"/>
        </w:rPr>
        <w:t>a isenção somente será concedida após a conclusão do processo de adoção ou da comprovação da guarda definitiva.</w:t>
      </w:r>
    </w:p>
    <w:p w:rsidR="00ED4CFF" w:rsidRPr="00C52566" w:rsidRDefault="00ED4CFF" w:rsidP="00C5256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2566">
        <w:rPr>
          <w:rFonts w:ascii="Times New Roman" w:eastAsia="Times New Roman" w:hAnsi="Times New Roman" w:cs="Times New Roman"/>
          <w:sz w:val="23"/>
          <w:szCs w:val="23"/>
        </w:rPr>
        <w:t>b) a isenção poderá ser renovada, mediante comprovação de que a adoção ou a guarda legal não se extinguiu</w:t>
      </w:r>
      <w:r w:rsidR="00F158D7" w:rsidRPr="00C52566">
        <w:rPr>
          <w:rFonts w:ascii="Times New Roman" w:eastAsia="Times New Roman" w:hAnsi="Times New Roman" w:cs="Times New Roman"/>
          <w:sz w:val="23"/>
          <w:szCs w:val="23"/>
        </w:rPr>
        <w:t xml:space="preserve"> consoante às hipóteses legais.</w:t>
      </w:r>
    </w:p>
    <w:p w:rsidR="003A4E9D" w:rsidRPr="00C52566" w:rsidRDefault="003A4E9D" w:rsidP="00C5256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2566">
        <w:rPr>
          <w:rFonts w:ascii="Times New Roman" w:eastAsia="Times New Roman" w:hAnsi="Times New Roman" w:cs="Times New Roman"/>
          <w:sz w:val="23"/>
          <w:szCs w:val="23"/>
        </w:rPr>
        <w:t xml:space="preserve">c) </w:t>
      </w:r>
      <w:r w:rsidRPr="00C52566">
        <w:rPr>
          <w:rFonts w:ascii="Times New Roman" w:hAnsi="Times New Roman" w:cs="Times New Roman"/>
          <w:sz w:val="23"/>
          <w:szCs w:val="23"/>
        </w:rPr>
        <w:t xml:space="preserve">o proprietário, </w:t>
      </w:r>
      <w:r w:rsidRPr="00C52566">
        <w:rPr>
          <w:rFonts w:ascii="Times New Roman" w:hAnsi="Times New Roman"/>
          <w:sz w:val="23"/>
          <w:szCs w:val="23"/>
        </w:rPr>
        <w:t xml:space="preserve">titular de domínio útil ou possuidor a qualquer título, ficará isento do Imposto sobre a Propriedade Territorial e Predial Urbana </w:t>
      </w:r>
      <w:r w:rsidR="00D04FED" w:rsidRPr="00C52566">
        <w:rPr>
          <w:rFonts w:ascii="Times New Roman" w:hAnsi="Times New Roman"/>
          <w:sz w:val="23"/>
          <w:szCs w:val="23"/>
        </w:rPr>
        <w:t>do imóvel em que residir.</w:t>
      </w:r>
    </w:p>
    <w:p w:rsidR="00F158D7" w:rsidRPr="00C52566" w:rsidRDefault="00F158D7" w:rsidP="00C5256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D4CFF" w:rsidRPr="00C52566" w:rsidRDefault="00472A90" w:rsidP="00C525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52566">
        <w:rPr>
          <w:rFonts w:ascii="Times New Roman" w:hAnsi="Times New Roman" w:cs="Times New Roman"/>
          <w:b/>
          <w:sz w:val="23"/>
          <w:szCs w:val="23"/>
        </w:rPr>
        <w:t>Art. 3</w:t>
      </w:r>
      <w:r w:rsidR="00ED4CFF" w:rsidRPr="00C52566">
        <w:rPr>
          <w:rFonts w:ascii="Times New Roman" w:hAnsi="Times New Roman" w:cs="Times New Roman"/>
          <w:b/>
          <w:sz w:val="23"/>
          <w:szCs w:val="23"/>
        </w:rPr>
        <w:t>º</w:t>
      </w:r>
      <w:r w:rsidR="00F158D7" w:rsidRPr="00C52566">
        <w:rPr>
          <w:rFonts w:ascii="Times New Roman" w:hAnsi="Times New Roman" w:cs="Times New Roman"/>
          <w:sz w:val="23"/>
          <w:szCs w:val="23"/>
        </w:rPr>
        <w:t xml:space="preserve"> Esta Lei</w:t>
      </w:r>
      <w:r w:rsidR="00ED4CFF" w:rsidRPr="00C52566">
        <w:rPr>
          <w:rFonts w:ascii="Times New Roman" w:hAnsi="Times New Roman" w:cs="Times New Roman"/>
          <w:sz w:val="23"/>
          <w:szCs w:val="23"/>
        </w:rPr>
        <w:t xml:space="preserve"> entra em v</w:t>
      </w:r>
      <w:r w:rsidR="00F158D7" w:rsidRPr="00C52566">
        <w:rPr>
          <w:rFonts w:ascii="Times New Roman" w:hAnsi="Times New Roman" w:cs="Times New Roman"/>
          <w:sz w:val="23"/>
          <w:szCs w:val="23"/>
        </w:rPr>
        <w:t>igor na data de sua publicação.</w:t>
      </w:r>
    </w:p>
    <w:p w:rsidR="00472A90" w:rsidRPr="00C52566" w:rsidRDefault="00472A90" w:rsidP="00C525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71293" w:rsidRPr="00C52566" w:rsidRDefault="00CF3294" w:rsidP="00C525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52566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</w:t>
      </w:r>
      <w:r w:rsidR="00D33ACE" w:rsidRPr="00C52566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="00212D6F" w:rsidRPr="00C52566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E9054B" w:rsidRPr="00C52566">
        <w:rPr>
          <w:rFonts w:ascii="Times New Roman" w:hAnsi="Times New Roman" w:cs="Times New Roman"/>
          <w:color w:val="000000"/>
          <w:sz w:val="23"/>
          <w:szCs w:val="23"/>
        </w:rPr>
        <w:t>março</w:t>
      </w:r>
      <w:r w:rsidR="001A5E85" w:rsidRPr="00C52566">
        <w:rPr>
          <w:rFonts w:ascii="Times New Roman" w:hAnsi="Times New Roman" w:cs="Times New Roman"/>
          <w:color w:val="000000"/>
          <w:sz w:val="23"/>
          <w:szCs w:val="23"/>
        </w:rPr>
        <w:t xml:space="preserve"> de 2019</w:t>
      </w:r>
      <w:r w:rsidR="00212D6F" w:rsidRPr="00C52566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B71293" w:rsidRPr="00C52566" w:rsidRDefault="00B71293" w:rsidP="00C5256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</w:p>
    <w:p w:rsidR="00B71293" w:rsidRPr="00C52566" w:rsidRDefault="00B71293" w:rsidP="00C5256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3"/>
          <w:szCs w:val="23"/>
        </w:rPr>
      </w:pPr>
    </w:p>
    <w:p w:rsidR="00C35C4F" w:rsidRPr="00C52566" w:rsidRDefault="00C35C4F" w:rsidP="00C525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7"/>
        <w:gridCol w:w="4748"/>
      </w:tblGrid>
      <w:tr w:rsidR="00082D33" w:rsidRPr="00C52566" w:rsidTr="00C52566">
        <w:trPr>
          <w:jc w:val="center"/>
        </w:trPr>
        <w:tc>
          <w:tcPr>
            <w:tcW w:w="4747" w:type="dxa"/>
            <w:shd w:val="clear" w:color="auto" w:fill="auto"/>
          </w:tcPr>
          <w:p w:rsidR="00082D33" w:rsidRPr="00C52566" w:rsidRDefault="00082D33" w:rsidP="00C5256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5256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NEREU BRESOLIN</w:t>
            </w:r>
          </w:p>
          <w:p w:rsidR="00082D33" w:rsidRPr="00C52566" w:rsidRDefault="00082D33" w:rsidP="00C5256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5256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4748" w:type="dxa"/>
            <w:shd w:val="clear" w:color="auto" w:fill="auto"/>
          </w:tcPr>
          <w:p w:rsidR="00082D33" w:rsidRPr="00C52566" w:rsidRDefault="00082D33" w:rsidP="00C5256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5256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DAMIANI NA TV</w:t>
            </w:r>
          </w:p>
          <w:p w:rsidR="00082D33" w:rsidRPr="00C52566" w:rsidRDefault="00082D33" w:rsidP="00C5256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5256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PSC</w:t>
            </w:r>
          </w:p>
        </w:tc>
      </w:tr>
    </w:tbl>
    <w:p w:rsidR="00082D33" w:rsidRPr="00C52566" w:rsidRDefault="00082D33" w:rsidP="00C52566">
      <w:pPr>
        <w:pStyle w:val="SemEspaamen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082D33" w:rsidRPr="00C52566" w:rsidRDefault="00082D33" w:rsidP="00C52566">
      <w:pPr>
        <w:pStyle w:val="SemEspaamen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082D33" w:rsidRPr="00C52566" w:rsidRDefault="00082D33" w:rsidP="00C52566">
      <w:pPr>
        <w:pStyle w:val="SemEspaamen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82D33" w:rsidRPr="00C52566" w:rsidTr="00C52566">
        <w:trPr>
          <w:jc w:val="center"/>
        </w:trPr>
        <w:tc>
          <w:tcPr>
            <w:tcW w:w="3165" w:type="dxa"/>
            <w:shd w:val="clear" w:color="auto" w:fill="auto"/>
          </w:tcPr>
          <w:p w:rsidR="00082D33" w:rsidRPr="00C52566" w:rsidRDefault="00082D33" w:rsidP="00C5256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5256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DIRCEU ZANATTA</w:t>
            </w:r>
          </w:p>
          <w:p w:rsidR="00082D33" w:rsidRPr="00C52566" w:rsidRDefault="00082D33" w:rsidP="00C5256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5256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082D33" w:rsidRPr="00C52566" w:rsidRDefault="00082D33" w:rsidP="00C5256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5256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ELISA ABRAHÃO</w:t>
            </w:r>
          </w:p>
          <w:p w:rsidR="00082D33" w:rsidRPr="00C52566" w:rsidRDefault="00082D33" w:rsidP="00C5256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5256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PRP</w:t>
            </w:r>
          </w:p>
        </w:tc>
        <w:tc>
          <w:tcPr>
            <w:tcW w:w="3165" w:type="dxa"/>
            <w:shd w:val="clear" w:color="auto" w:fill="auto"/>
          </w:tcPr>
          <w:p w:rsidR="00082D33" w:rsidRPr="00C52566" w:rsidRDefault="00082D33" w:rsidP="00C5256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5256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TOCO BAGGIO</w:t>
            </w:r>
          </w:p>
          <w:p w:rsidR="00082D33" w:rsidRPr="00C52566" w:rsidRDefault="00082D33" w:rsidP="00C5256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5256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</w:tr>
    </w:tbl>
    <w:p w:rsidR="00F158D7" w:rsidRPr="00C52566" w:rsidRDefault="00F158D7" w:rsidP="00C5256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B0367" w:rsidRPr="00C52566" w:rsidRDefault="000346A1" w:rsidP="00C5256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52566">
        <w:rPr>
          <w:rFonts w:ascii="Times New Roman" w:hAnsi="Times New Roman" w:cs="Times New Roman"/>
          <w:b/>
          <w:sz w:val="23"/>
          <w:szCs w:val="23"/>
        </w:rPr>
        <w:lastRenderedPageBreak/>
        <w:t>JUSTIFICATIVA</w:t>
      </w:r>
    </w:p>
    <w:p w:rsidR="00C35C4F" w:rsidRPr="00C52566" w:rsidRDefault="00C35C4F" w:rsidP="00C525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158D7" w:rsidRPr="00C52566" w:rsidRDefault="00F158D7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C52566">
        <w:rPr>
          <w:sz w:val="23"/>
          <w:szCs w:val="23"/>
        </w:rPr>
        <w:t xml:space="preserve">Não há duvida que as crianças </w:t>
      </w:r>
      <w:r w:rsidR="00C462C6" w:rsidRPr="00C52566">
        <w:rPr>
          <w:sz w:val="23"/>
          <w:szCs w:val="23"/>
        </w:rPr>
        <w:t>e adolescentes adotado</w:t>
      </w:r>
      <w:r w:rsidRPr="00C52566">
        <w:rPr>
          <w:sz w:val="23"/>
          <w:szCs w:val="23"/>
        </w:rPr>
        <w:t xml:space="preserve">s </w:t>
      </w:r>
      <w:proofErr w:type="gramStart"/>
      <w:r w:rsidRPr="00C52566">
        <w:rPr>
          <w:sz w:val="23"/>
          <w:szCs w:val="23"/>
        </w:rPr>
        <w:t>constituem</w:t>
      </w:r>
      <w:proofErr w:type="gramEnd"/>
      <w:r w:rsidRPr="00C52566">
        <w:rPr>
          <w:sz w:val="23"/>
          <w:szCs w:val="23"/>
        </w:rPr>
        <w:t xml:space="preserve"> grupo vulnerável e fragilizado, que demand</w:t>
      </w:r>
      <w:r w:rsidR="00C462C6" w:rsidRPr="00C52566">
        <w:rPr>
          <w:sz w:val="23"/>
          <w:szCs w:val="23"/>
        </w:rPr>
        <w:t>a</w:t>
      </w:r>
      <w:r w:rsidRPr="00C52566">
        <w:rPr>
          <w:sz w:val="23"/>
          <w:szCs w:val="23"/>
        </w:rPr>
        <w:t xml:space="preserve"> esforço adicional da família para sua adaptação, para criação de laços de afeto e principalmente para superar traumas.</w:t>
      </w:r>
    </w:p>
    <w:p w:rsidR="00AB6C15" w:rsidRPr="00C52566" w:rsidRDefault="00AB6C15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C52566">
        <w:rPr>
          <w:sz w:val="23"/>
          <w:szCs w:val="23"/>
        </w:rPr>
        <w:t xml:space="preserve">Nesse sentido, o Projeto de Lei </w:t>
      </w:r>
      <w:r w:rsidR="00370EC6" w:rsidRPr="00C52566">
        <w:rPr>
          <w:sz w:val="23"/>
          <w:szCs w:val="23"/>
        </w:rPr>
        <w:t xml:space="preserve">Municipal </w:t>
      </w:r>
      <w:r w:rsidRPr="00C52566">
        <w:rPr>
          <w:sz w:val="23"/>
          <w:szCs w:val="23"/>
        </w:rPr>
        <w:t>em apreço pretende reconhecer a atitude das pessoas que adotaram ou assumiram a guarda definitiva de crianças que se encontravam vulneráveis e fragilizadas.</w:t>
      </w:r>
    </w:p>
    <w:p w:rsidR="00F158D7" w:rsidRDefault="00F158D7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C52566">
        <w:rPr>
          <w:sz w:val="23"/>
          <w:szCs w:val="23"/>
        </w:rPr>
        <w:t>É certo que os filhos havidos ou não por adoção, terão os mesmos direitos e qualificações, sendo vedadas quaisquer designações discriminatórias relativas à filiação.</w:t>
      </w:r>
    </w:p>
    <w:p w:rsidR="00141948" w:rsidRPr="00C52566" w:rsidRDefault="00141948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F158D7" w:rsidRDefault="00F158D7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C52566">
        <w:rPr>
          <w:sz w:val="23"/>
          <w:szCs w:val="23"/>
        </w:rPr>
        <w:t>No entanto, as famílias adotantes, que assumem esse ônus, devem ser reconhecidas, uma vez que a adoção</w:t>
      </w:r>
      <w:r w:rsidR="00D8718F" w:rsidRPr="00C52566">
        <w:rPr>
          <w:sz w:val="23"/>
          <w:szCs w:val="23"/>
        </w:rPr>
        <w:t xml:space="preserve"> é uma medida essencial para</w:t>
      </w:r>
      <w:r w:rsidRPr="00C52566">
        <w:rPr>
          <w:sz w:val="23"/>
          <w:szCs w:val="23"/>
        </w:rPr>
        <w:t xml:space="preserve"> a tutela e acolhida das crianças e </w:t>
      </w:r>
      <w:r w:rsidR="00D8718F" w:rsidRPr="00C52566">
        <w:rPr>
          <w:sz w:val="23"/>
          <w:szCs w:val="23"/>
        </w:rPr>
        <w:t>adolescentes em família, propiciando</w:t>
      </w:r>
      <w:r w:rsidRPr="00C52566">
        <w:rPr>
          <w:sz w:val="23"/>
          <w:szCs w:val="23"/>
        </w:rPr>
        <w:t xml:space="preserve"> o seu desenvolvimento integral, bem estar físico, psíquico e maior oportunidade de inclusão social.</w:t>
      </w:r>
    </w:p>
    <w:p w:rsidR="00141948" w:rsidRPr="00C52566" w:rsidRDefault="00141948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BA65AD" w:rsidRDefault="00034233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C52566">
        <w:rPr>
          <w:sz w:val="23"/>
          <w:szCs w:val="23"/>
        </w:rPr>
        <w:t>C</w:t>
      </w:r>
      <w:r w:rsidR="00887CA1" w:rsidRPr="00C52566">
        <w:rPr>
          <w:sz w:val="23"/>
          <w:szCs w:val="23"/>
        </w:rPr>
        <w:t xml:space="preserve">umpre assinalar que a Constituição Federal </w:t>
      </w:r>
      <w:r w:rsidR="0078514E" w:rsidRPr="00C52566">
        <w:rPr>
          <w:sz w:val="23"/>
          <w:szCs w:val="23"/>
        </w:rPr>
        <w:t xml:space="preserve">consagrou </w:t>
      </w:r>
      <w:r w:rsidR="00887CA1" w:rsidRPr="00C52566">
        <w:rPr>
          <w:sz w:val="23"/>
          <w:szCs w:val="23"/>
        </w:rPr>
        <w:t>a</w:t>
      </w:r>
      <w:r w:rsidR="0078514E" w:rsidRPr="00C52566">
        <w:rPr>
          <w:sz w:val="23"/>
          <w:szCs w:val="23"/>
        </w:rPr>
        <w:t xml:space="preserve"> regra da</w:t>
      </w:r>
      <w:r w:rsidR="00887CA1" w:rsidRPr="00C52566">
        <w:rPr>
          <w:sz w:val="23"/>
          <w:szCs w:val="23"/>
        </w:rPr>
        <w:t xml:space="preserve"> iniciativa </w:t>
      </w:r>
      <w:r w:rsidR="0078514E" w:rsidRPr="00C52566">
        <w:rPr>
          <w:sz w:val="23"/>
          <w:szCs w:val="23"/>
        </w:rPr>
        <w:t>comum ou concorrente em matéria tributária</w:t>
      </w:r>
      <w:r w:rsidR="00887CA1" w:rsidRPr="00C52566">
        <w:rPr>
          <w:sz w:val="23"/>
          <w:szCs w:val="23"/>
        </w:rPr>
        <w:t>. A iniciativa reservada, por constituir matéria de direito estr</w:t>
      </w:r>
      <w:r w:rsidR="00026473" w:rsidRPr="00C52566">
        <w:rPr>
          <w:sz w:val="23"/>
          <w:szCs w:val="23"/>
        </w:rPr>
        <w:t>ito, não se presume</w:t>
      </w:r>
      <w:r w:rsidR="00887CA1" w:rsidRPr="00C52566">
        <w:rPr>
          <w:sz w:val="23"/>
          <w:szCs w:val="23"/>
        </w:rPr>
        <w:t xml:space="preserve"> e nem comporta interpretação ampliativa, na medida em que, por implicar limitação ao poder </w:t>
      </w:r>
      <w:r w:rsidR="002E206F" w:rsidRPr="00C52566">
        <w:rPr>
          <w:sz w:val="23"/>
          <w:szCs w:val="23"/>
        </w:rPr>
        <w:t>de instauração do processo legislativo deve necessariamente derivar de norma constitucional explícita e inequívoca.</w:t>
      </w:r>
    </w:p>
    <w:p w:rsidR="00141948" w:rsidRPr="00C52566" w:rsidRDefault="00141948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1C6405" w:rsidRDefault="001C6405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C52566">
        <w:rPr>
          <w:sz w:val="23"/>
          <w:szCs w:val="23"/>
        </w:rPr>
        <w:t xml:space="preserve">No mais, a Lei Orgânica </w:t>
      </w:r>
      <w:r w:rsidR="00D8718F" w:rsidRPr="00C52566">
        <w:rPr>
          <w:sz w:val="23"/>
          <w:szCs w:val="23"/>
        </w:rPr>
        <w:t xml:space="preserve">do Município </w:t>
      </w:r>
      <w:r w:rsidRPr="00C52566">
        <w:rPr>
          <w:sz w:val="23"/>
          <w:szCs w:val="23"/>
        </w:rPr>
        <w:t xml:space="preserve">de Sorriso-MT, dispõe em seu artigo 12, inciso I, que cabe a Câmara Municipal, com a sanção do Prefeito, dispor sobre todas as matérias da competência do Município especialmente sobre sistema tributário, arrecadação, distribuição e aplicação de suas rendas. </w:t>
      </w:r>
    </w:p>
    <w:p w:rsidR="00141948" w:rsidRPr="00C52566" w:rsidRDefault="00141948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AB6C15" w:rsidRDefault="00AB6C15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proofErr w:type="gramStart"/>
      <w:r w:rsidRPr="00C52566">
        <w:rPr>
          <w:sz w:val="23"/>
          <w:szCs w:val="23"/>
        </w:rPr>
        <w:t>Outrossim</w:t>
      </w:r>
      <w:proofErr w:type="gramEnd"/>
      <w:r w:rsidRPr="00C52566">
        <w:rPr>
          <w:sz w:val="23"/>
          <w:szCs w:val="23"/>
        </w:rPr>
        <w:t>, a</w:t>
      </w:r>
      <w:r w:rsidR="003A13C4" w:rsidRPr="00C52566">
        <w:rPr>
          <w:sz w:val="23"/>
          <w:szCs w:val="23"/>
        </w:rPr>
        <w:t xml:space="preserve"> presente propositura</w:t>
      </w:r>
      <w:r w:rsidRPr="00C52566">
        <w:rPr>
          <w:sz w:val="23"/>
          <w:szCs w:val="23"/>
        </w:rPr>
        <w:t xml:space="preserve"> visa a atuação do Estado com fins muito além daqueles meramente fiscais, ou seja, no campo da extrafiscalidade, que, em suma, justifica juridicamente a atividade tributante do Estado e a impele, com vistas na realização dos fins estatais e dos valores constitucionais.</w:t>
      </w:r>
    </w:p>
    <w:p w:rsidR="00141948" w:rsidRPr="00C52566" w:rsidRDefault="00141948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3A13C4" w:rsidRDefault="003A13C4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C52566">
        <w:rPr>
          <w:sz w:val="23"/>
          <w:szCs w:val="23"/>
        </w:rPr>
        <w:t xml:space="preserve"> </w:t>
      </w:r>
      <w:r w:rsidR="004F3396" w:rsidRPr="00C52566">
        <w:rPr>
          <w:sz w:val="23"/>
          <w:szCs w:val="23"/>
        </w:rPr>
        <w:t>Oportuno consignar, que o Projeto de Lei Municipal em tela,</w:t>
      </w:r>
      <w:r w:rsidR="00AB6C15" w:rsidRPr="00C52566">
        <w:rPr>
          <w:sz w:val="23"/>
          <w:szCs w:val="23"/>
        </w:rPr>
        <w:t xml:space="preserve"> </w:t>
      </w:r>
      <w:r w:rsidR="004F3396" w:rsidRPr="00C52566">
        <w:rPr>
          <w:sz w:val="23"/>
          <w:szCs w:val="23"/>
        </w:rPr>
        <w:t>esta amparado</w:t>
      </w:r>
      <w:r w:rsidRPr="00C52566">
        <w:rPr>
          <w:sz w:val="23"/>
          <w:szCs w:val="23"/>
        </w:rPr>
        <w:t xml:space="preserve"> em princípio expresso na Lei Maior, mais precisamente em seu artigo 227, inciso VI, do § 3º, que contempla a ampla proteção à criança e ao adolescente, tido como prioridade em nosso ordenamento constitucional. </w:t>
      </w:r>
    </w:p>
    <w:p w:rsidR="00141948" w:rsidRPr="00C52566" w:rsidRDefault="00141948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3A13C4" w:rsidRPr="00C52566" w:rsidRDefault="003A13C4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C52566">
        <w:rPr>
          <w:sz w:val="23"/>
          <w:szCs w:val="23"/>
        </w:rPr>
        <w:t xml:space="preserve">Tal dispositivo aponta para a necessidade de adoção de medidas pelo próprio poder público no sentido de estimular, através, inclusive, </w:t>
      </w:r>
      <w:r w:rsidRPr="00C52566">
        <w:rPr>
          <w:b/>
          <w:sz w:val="23"/>
          <w:szCs w:val="23"/>
          <w:u w:val="single"/>
        </w:rPr>
        <w:t>de incentivos fiscais, tal como é classificada a isenção</w:t>
      </w:r>
      <w:r w:rsidRPr="00C52566">
        <w:rPr>
          <w:sz w:val="23"/>
          <w:szCs w:val="23"/>
        </w:rPr>
        <w:t xml:space="preserve">, que a sociedade promova a convivência familiar da universalidade das crianças e adolescentes, em especial daqueles que se </w:t>
      </w:r>
      <w:proofErr w:type="gramStart"/>
      <w:r w:rsidRPr="00C52566">
        <w:rPr>
          <w:sz w:val="23"/>
          <w:szCs w:val="23"/>
        </w:rPr>
        <w:t>enc</w:t>
      </w:r>
      <w:r w:rsidR="0065291C" w:rsidRPr="00C52566">
        <w:rPr>
          <w:sz w:val="23"/>
          <w:szCs w:val="23"/>
        </w:rPr>
        <w:t>ontrem</w:t>
      </w:r>
      <w:proofErr w:type="gramEnd"/>
      <w:r w:rsidR="0065291C" w:rsidRPr="00C52566">
        <w:rPr>
          <w:sz w:val="23"/>
          <w:szCs w:val="23"/>
        </w:rPr>
        <w:t xml:space="preserve"> em situação de carência. Assim vejamos: </w:t>
      </w:r>
    </w:p>
    <w:p w:rsidR="0065291C" w:rsidRPr="00C52566" w:rsidRDefault="0065291C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proofErr w:type="gramStart"/>
      <w:r w:rsidRPr="00C52566">
        <w:rPr>
          <w:sz w:val="23"/>
          <w:szCs w:val="23"/>
        </w:rPr>
        <w:t>“Art. 227.</w:t>
      </w:r>
      <w:proofErr w:type="gramEnd"/>
      <w:r w:rsidRPr="00C52566">
        <w:rPr>
          <w:sz w:val="23"/>
          <w:szCs w:val="23"/>
        </w:rPr>
        <w:t xml:space="preserve"> É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opressão.</w:t>
      </w:r>
    </w:p>
    <w:p w:rsidR="0065291C" w:rsidRPr="00C52566" w:rsidRDefault="0065291C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C52566">
        <w:rPr>
          <w:sz w:val="23"/>
          <w:szCs w:val="23"/>
        </w:rPr>
        <w:t>(...)</w:t>
      </w:r>
    </w:p>
    <w:p w:rsidR="0065291C" w:rsidRPr="00C52566" w:rsidRDefault="0065291C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C52566">
        <w:rPr>
          <w:sz w:val="23"/>
          <w:szCs w:val="23"/>
        </w:rPr>
        <w:t>§ 3º O direito a proteção especial abrangerá os seguintes aspectos:</w:t>
      </w:r>
    </w:p>
    <w:p w:rsidR="0065291C" w:rsidRPr="00C52566" w:rsidRDefault="0065291C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C52566">
        <w:rPr>
          <w:sz w:val="23"/>
          <w:szCs w:val="23"/>
        </w:rPr>
        <w:t>(...)</w:t>
      </w:r>
    </w:p>
    <w:p w:rsidR="0065291C" w:rsidRDefault="0065291C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proofErr w:type="gramStart"/>
      <w:r w:rsidRPr="00C52566">
        <w:rPr>
          <w:sz w:val="23"/>
          <w:szCs w:val="23"/>
        </w:rPr>
        <w:lastRenderedPageBreak/>
        <w:t xml:space="preserve">VI - estímulo do Poder Público, através de assistência jurídica, </w:t>
      </w:r>
      <w:r w:rsidRPr="00C52566">
        <w:rPr>
          <w:b/>
          <w:sz w:val="23"/>
          <w:szCs w:val="23"/>
          <w:u w:val="single"/>
        </w:rPr>
        <w:t>incentivos fiscais e subsídios</w:t>
      </w:r>
      <w:r w:rsidRPr="00C52566">
        <w:rPr>
          <w:sz w:val="23"/>
          <w:szCs w:val="23"/>
        </w:rPr>
        <w:t>, nos termos da lei, ao acolhimento, sob a forma de guarda, de criança ou adolescente órfão ou abandonado.”</w:t>
      </w:r>
      <w:proofErr w:type="gramEnd"/>
    </w:p>
    <w:p w:rsidR="00141948" w:rsidRPr="00C52566" w:rsidRDefault="00141948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65291C" w:rsidRDefault="004F3396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C52566">
        <w:rPr>
          <w:sz w:val="23"/>
          <w:szCs w:val="23"/>
        </w:rPr>
        <w:t>Portanto, contemplado</w:t>
      </w:r>
      <w:r w:rsidR="0065291C" w:rsidRPr="00C52566">
        <w:rPr>
          <w:sz w:val="23"/>
          <w:szCs w:val="23"/>
        </w:rPr>
        <w:t xml:space="preserve"> expressamente pela Constituição Federal de 1988 como critério de aplicação da extrafiscalidade pelo Estado o estímulo social ao acolhimento de crianças ou adolescentes em si</w:t>
      </w:r>
      <w:r w:rsidRPr="00C52566">
        <w:rPr>
          <w:sz w:val="23"/>
          <w:szCs w:val="23"/>
        </w:rPr>
        <w:t>t</w:t>
      </w:r>
      <w:r w:rsidR="00370EC6" w:rsidRPr="00C52566">
        <w:rPr>
          <w:sz w:val="23"/>
          <w:szCs w:val="23"/>
        </w:rPr>
        <w:t>uação de abandono, de carência, logo, demonstrada</w:t>
      </w:r>
      <w:r w:rsidRPr="00C52566">
        <w:rPr>
          <w:sz w:val="23"/>
          <w:szCs w:val="23"/>
        </w:rPr>
        <w:t xml:space="preserve"> a constitucionalidade da presente propositura.</w:t>
      </w:r>
    </w:p>
    <w:p w:rsidR="00141948" w:rsidRPr="00C52566" w:rsidRDefault="00141948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AB6C15" w:rsidRDefault="00AB6C15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C52566">
        <w:rPr>
          <w:sz w:val="23"/>
          <w:szCs w:val="23"/>
        </w:rPr>
        <w:t xml:space="preserve">Ainda sobre o tema, </w:t>
      </w:r>
      <w:r w:rsidR="004F3396" w:rsidRPr="00C52566">
        <w:rPr>
          <w:sz w:val="23"/>
          <w:szCs w:val="23"/>
        </w:rPr>
        <w:t>o aresto</w:t>
      </w:r>
      <w:r w:rsidRPr="00C52566">
        <w:rPr>
          <w:sz w:val="23"/>
          <w:szCs w:val="23"/>
        </w:rPr>
        <w:t xml:space="preserve"> trazido à colação a seguir:</w:t>
      </w:r>
    </w:p>
    <w:p w:rsidR="00C52566" w:rsidRDefault="00C52566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C52566" w:rsidRPr="00C52566" w:rsidRDefault="00C52566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65291C" w:rsidRPr="00C52566" w:rsidRDefault="004F3396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jc w:val="both"/>
        <w:rPr>
          <w:sz w:val="23"/>
          <w:szCs w:val="23"/>
        </w:rPr>
      </w:pPr>
      <w:r w:rsidRPr="00C52566">
        <w:rPr>
          <w:sz w:val="23"/>
          <w:szCs w:val="23"/>
        </w:rPr>
        <w:t xml:space="preserve">“AGRAVO INTERNO. DECISÃO MONOCRÁTICA QUE NEGOU SEGUIMENTO A APELAÇÃO CÍVEL EM CONFRONTO COM A JURISPRUDÊNCIA DESTA </w:t>
      </w:r>
      <w:proofErr w:type="gramStart"/>
      <w:r w:rsidRPr="00C52566">
        <w:rPr>
          <w:sz w:val="23"/>
          <w:szCs w:val="23"/>
        </w:rPr>
        <w:t>CORTE.</w:t>
      </w:r>
      <w:proofErr w:type="gramEnd"/>
      <w:r w:rsidRPr="00C52566">
        <w:rPr>
          <w:sz w:val="23"/>
          <w:szCs w:val="23"/>
        </w:rPr>
        <w:t xml:space="preserve">ISENÇÃO DO IPTU ANTE À ADOÇÃO DE MENOR CARENTE. ALEGAÇÃO DE INCONSTITUCIONALIDADE DA NORMA QUE CONCEDEU O FAVOR FISCAL (LEI MUNICIPAL N.º 117/94). INEXISTÊNCIA DE VIOLAÇÃO AO PRINCÍPIO DA ISONOMIA. ISENÇÃO DE NATUREZA MATERIAL EM IMPOSTO DE NATUREZA REAL. POSSIBILIDADE. NÃO CONFIGURAÇÃO DOS </w:t>
      </w:r>
      <w:r w:rsidR="008E029E" w:rsidRPr="00C52566">
        <w:rPr>
          <w:sz w:val="23"/>
          <w:szCs w:val="23"/>
        </w:rPr>
        <w:t>VÍCIOS DE INCONSTITUCIONALIDADE ALEGADOS. ISENÇÃO CONSTITUCIONAL. PRECEDENTES DESTE   TJRN. AGRAVO CONHECIDO E DESPROVIDO. ADI – LEI Nº 7.999/85, DO ESTADO DO RIO GRANDE DO SUL, COM A REDAÇÃO QUE LHE DEU A LEI Nº 9.535/92 – BENEFÍCIO TRIBUTÁRIO – METÉRIA DE INICIATIVA COMUM OU CONCORRENTE</w:t>
      </w:r>
      <w:r w:rsidR="008E029E" w:rsidRPr="00C52566">
        <w:rPr>
          <w:b/>
          <w:sz w:val="23"/>
          <w:szCs w:val="23"/>
        </w:rPr>
        <w:t xml:space="preserve"> –</w:t>
      </w:r>
      <w:r w:rsidR="008E029E" w:rsidRPr="00C52566">
        <w:rPr>
          <w:sz w:val="23"/>
          <w:szCs w:val="23"/>
        </w:rPr>
        <w:t xml:space="preserve"> REPERCUSSÃO  NO ORÇAMENTO ESTADUAL – ALEGADA USURPAÇÃO DA CLÁUSULA DE INICIATIVA RESERVADA AO CHEFE DO PODER EXECUTIVO – AUSÊNCIA DE PLAUSIBILIDADE  JURÍDICA – MEDIDA CAUTELAR INDEFERIDA . CONSTITUCIONAL E TRIBUTÁRIO. MANDADO DE SEGURANÇA LEI Nº 117/94. IPTU.</w:t>
      </w:r>
      <w:r w:rsidR="009E3E7F" w:rsidRPr="00C52566">
        <w:rPr>
          <w:sz w:val="23"/>
          <w:szCs w:val="23"/>
        </w:rPr>
        <w:t xml:space="preserve"> </w:t>
      </w:r>
      <w:r w:rsidR="008E029E" w:rsidRPr="00C52566">
        <w:rPr>
          <w:sz w:val="23"/>
          <w:szCs w:val="23"/>
        </w:rPr>
        <w:t>CONTRIBUINTE RESIDENTE EM IMÓVEL P</w:t>
      </w:r>
      <w:r w:rsidR="009E3E7F" w:rsidRPr="00C52566">
        <w:rPr>
          <w:sz w:val="23"/>
          <w:szCs w:val="23"/>
        </w:rPr>
        <w:t>RÓPRIO. ISENÇÃO. ADOÇÃO DE MENOR</w:t>
      </w:r>
      <w:r w:rsidR="008E029E" w:rsidRPr="00C52566">
        <w:rPr>
          <w:sz w:val="23"/>
          <w:szCs w:val="23"/>
        </w:rPr>
        <w:t xml:space="preserve"> CARENTE.</w:t>
      </w:r>
      <w:r w:rsidR="009E3E7F" w:rsidRPr="00C52566">
        <w:rPr>
          <w:sz w:val="23"/>
          <w:szCs w:val="23"/>
        </w:rPr>
        <w:t xml:space="preserve"> </w:t>
      </w:r>
      <w:r w:rsidR="008E029E" w:rsidRPr="00C52566">
        <w:rPr>
          <w:sz w:val="23"/>
          <w:szCs w:val="23"/>
        </w:rPr>
        <w:t>CONTROLE DE CONSTITUCIONALIDADE. LEI MUNICIPAL QUE CONTINUA EM VIGOR. MATÉRIA SUB JUDICE. CONSTITUCIONALIDADE DA NORMA QUE SE CONSUBSTANCIA NO ART. 150, §6º, DA CF/88. INICIATIVA PARLAMENTAR CONCORRENTE COM A DO CHEFE DO EXECUTIVO. INCONSTITUCIONALIDADE DO ART. 21, IV, DA LEI ORGÂNICA DO MUNICÍPIO. MANUTENÇÃO DA DECISÃO APELADA.CONHECIMENTO E IMPROVIMENTO DA REMESSA NECESSÁRIA E DA APELAÇÃO. PRECEDENTES. (TJRN, Apelação Cível em Mandado de Segurança, Terceira Câmara Cível. Rel. Doutor Gabriel Maia Neto (Juiz convocado), j. 25.10.2007) (TJ-RN – AC: 76897000100 RN 2010.007689-7 / 0001.00, Relator: Des. Amílcar Maia, Data de Julgament</w:t>
      </w:r>
      <w:r w:rsidR="009E3E7F" w:rsidRPr="00C52566">
        <w:rPr>
          <w:sz w:val="23"/>
          <w:szCs w:val="23"/>
        </w:rPr>
        <w:t>o: 09/11/2010,1ª Câmara Cível).”</w:t>
      </w:r>
    </w:p>
    <w:p w:rsidR="00C70E4A" w:rsidRPr="00C52566" w:rsidRDefault="0080611E" w:rsidP="00C52566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C52566">
        <w:rPr>
          <w:sz w:val="23"/>
          <w:szCs w:val="23"/>
        </w:rPr>
        <w:t>Ante</w:t>
      </w:r>
      <w:r w:rsidR="00F951E4" w:rsidRPr="00C52566">
        <w:rPr>
          <w:sz w:val="23"/>
          <w:szCs w:val="23"/>
        </w:rPr>
        <w:t xml:space="preserve"> o exposto, solicitamos</w:t>
      </w:r>
      <w:r w:rsidR="00BA65AD" w:rsidRPr="00C52566">
        <w:rPr>
          <w:sz w:val="23"/>
          <w:szCs w:val="23"/>
        </w:rPr>
        <w:t xml:space="preserve"> o apoio dos nobres pares para a aprovação do presente Projeto de Le</w:t>
      </w:r>
      <w:r w:rsidR="00C462C6" w:rsidRPr="00C52566">
        <w:rPr>
          <w:sz w:val="23"/>
          <w:szCs w:val="23"/>
        </w:rPr>
        <w:t>i</w:t>
      </w:r>
      <w:r w:rsidR="009E3E7F" w:rsidRPr="00C52566">
        <w:rPr>
          <w:sz w:val="23"/>
          <w:szCs w:val="23"/>
        </w:rPr>
        <w:t xml:space="preserve"> Municipal</w:t>
      </w:r>
      <w:r w:rsidR="00C462C6" w:rsidRPr="00C52566">
        <w:rPr>
          <w:sz w:val="23"/>
          <w:szCs w:val="23"/>
        </w:rPr>
        <w:t>, que certamente vai beneficiar pessoas que adotaram ou assumiram a guarda definitiva de crianças ou adolescentes no Município.</w:t>
      </w:r>
    </w:p>
    <w:p w:rsidR="00C70E4A" w:rsidRPr="00C52566" w:rsidRDefault="00C70E4A" w:rsidP="00C525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35C4F" w:rsidRPr="00C52566" w:rsidRDefault="00CF3294" w:rsidP="00C525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52566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</w:t>
      </w:r>
      <w:r w:rsidR="00D33ACE" w:rsidRPr="00C52566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="004C23FA" w:rsidRPr="00C5256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52566">
        <w:rPr>
          <w:rFonts w:ascii="Times New Roman" w:hAnsi="Times New Roman" w:cs="Times New Roman"/>
          <w:color w:val="000000"/>
          <w:sz w:val="23"/>
          <w:szCs w:val="23"/>
        </w:rPr>
        <w:t xml:space="preserve">de </w:t>
      </w:r>
      <w:r w:rsidR="00E9054B" w:rsidRPr="00C52566">
        <w:rPr>
          <w:rFonts w:ascii="Times New Roman" w:hAnsi="Times New Roman" w:cs="Times New Roman"/>
          <w:color w:val="000000"/>
          <w:sz w:val="23"/>
          <w:szCs w:val="23"/>
        </w:rPr>
        <w:t>março</w:t>
      </w:r>
      <w:r w:rsidR="001A5E85" w:rsidRPr="00C52566">
        <w:rPr>
          <w:rFonts w:ascii="Times New Roman" w:hAnsi="Times New Roman" w:cs="Times New Roman"/>
          <w:color w:val="000000"/>
          <w:sz w:val="23"/>
          <w:szCs w:val="23"/>
        </w:rPr>
        <w:t xml:space="preserve"> de 2019</w:t>
      </w:r>
      <w:r w:rsidRPr="00C52566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C35C4F" w:rsidRDefault="00C35C4F" w:rsidP="00C52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52566" w:rsidRDefault="00C52566" w:rsidP="00C52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52566" w:rsidRPr="00C52566" w:rsidRDefault="00C52566" w:rsidP="00C52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82D33" w:rsidRPr="00C52566" w:rsidRDefault="00082D33" w:rsidP="00C52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E0741" w:rsidRPr="00C52566" w:rsidRDefault="003E0741" w:rsidP="00C52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082D33" w:rsidRPr="00C52566" w:rsidTr="00B81B3A">
        <w:tc>
          <w:tcPr>
            <w:tcW w:w="4747" w:type="dxa"/>
            <w:shd w:val="clear" w:color="auto" w:fill="auto"/>
          </w:tcPr>
          <w:p w:rsidR="00082D33" w:rsidRPr="00C52566" w:rsidRDefault="00082D33" w:rsidP="00C5256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5256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NEREU BRESOLIN</w:t>
            </w:r>
          </w:p>
          <w:p w:rsidR="00082D33" w:rsidRPr="00C52566" w:rsidRDefault="00082D33" w:rsidP="00C5256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5256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4748" w:type="dxa"/>
            <w:shd w:val="clear" w:color="auto" w:fill="auto"/>
          </w:tcPr>
          <w:p w:rsidR="00082D33" w:rsidRPr="00C52566" w:rsidRDefault="00082D33" w:rsidP="00C5256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5256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DAMIANI NA TV</w:t>
            </w:r>
          </w:p>
          <w:p w:rsidR="00082D33" w:rsidRPr="00C52566" w:rsidRDefault="00082D33" w:rsidP="00C5256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5256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PSC</w:t>
            </w:r>
          </w:p>
        </w:tc>
      </w:tr>
    </w:tbl>
    <w:p w:rsidR="00082D33" w:rsidRPr="00C52566" w:rsidRDefault="00082D33" w:rsidP="00C52566">
      <w:pPr>
        <w:pStyle w:val="SemEspaamen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082D33" w:rsidRPr="00C52566" w:rsidRDefault="00082D33" w:rsidP="00C52566">
      <w:pPr>
        <w:pStyle w:val="SemEspaamen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082D33" w:rsidRPr="00C52566" w:rsidRDefault="00082D33" w:rsidP="00C52566">
      <w:pPr>
        <w:pStyle w:val="SemEspaamen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082D33" w:rsidRPr="00C52566" w:rsidRDefault="00082D33" w:rsidP="00C52566">
      <w:pPr>
        <w:pStyle w:val="SemEspaamen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82D33" w:rsidRPr="00C52566" w:rsidTr="00B81B3A">
        <w:tc>
          <w:tcPr>
            <w:tcW w:w="3165" w:type="dxa"/>
            <w:shd w:val="clear" w:color="auto" w:fill="auto"/>
          </w:tcPr>
          <w:p w:rsidR="00082D33" w:rsidRPr="00C52566" w:rsidRDefault="00082D33" w:rsidP="00C5256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5256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DIRCEU ZANATTA</w:t>
            </w:r>
          </w:p>
          <w:p w:rsidR="00082D33" w:rsidRPr="00C52566" w:rsidRDefault="00082D33" w:rsidP="00C5256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5256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082D33" w:rsidRPr="00C52566" w:rsidRDefault="00082D33" w:rsidP="00C5256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5256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ELISA ABRAHÃO</w:t>
            </w:r>
          </w:p>
          <w:p w:rsidR="00082D33" w:rsidRPr="00C52566" w:rsidRDefault="00082D33" w:rsidP="00C5256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5256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PRP</w:t>
            </w:r>
          </w:p>
        </w:tc>
        <w:tc>
          <w:tcPr>
            <w:tcW w:w="3165" w:type="dxa"/>
            <w:shd w:val="clear" w:color="auto" w:fill="auto"/>
          </w:tcPr>
          <w:p w:rsidR="00082D33" w:rsidRPr="00C52566" w:rsidRDefault="00082D33" w:rsidP="00C5256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5256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TOCO BAGGIO</w:t>
            </w:r>
          </w:p>
          <w:p w:rsidR="00082D33" w:rsidRPr="00C52566" w:rsidRDefault="00082D33" w:rsidP="00C5256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5256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</w:tr>
    </w:tbl>
    <w:p w:rsidR="006B0367" w:rsidRPr="00C52566" w:rsidRDefault="006B0367" w:rsidP="00C52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B0367" w:rsidRPr="00C52566" w:rsidRDefault="006B0367" w:rsidP="00C52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B0367" w:rsidRPr="00C52566" w:rsidRDefault="006B0367" w:rsidP="00C52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82D33" w:rsidRPr="00C52566" w:rsidRDefault="00082D33" w:rsidP="00C52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sectPr w:rsidR="00082D33" w:rsidRPr="00C52566" w:rsidSect="00C52566">
      <w:pgSz w:w="11906" w:h="16838"/>
      <w:pgMar w:top="2694" w:right="991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7C" w:rsidRDefault="009C7A7C" w:rsidP="00DA5922">
      <w:pPr>
        <w:spacing w:after="0" w:line="240" w:lineRule="auto"/>
      </w:pPr>
      <w:r>
        <w:separator/>
      </w:r>
    </w:p>
  </w:endnote>
  <w:endnote w:type="continuationSeparator" w:id="0">
    <w:p w:rsidR="009C7A7C" w:rsidRDefault="009C7A7C" w:rsidP="00DA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7C" w:rsidRDefault="009C7A7C" w:rsidP="00DA5922">
      <w:pPr>
        <w:spacing w:after="0" w:line="240" w:lineRule="auto"/>
      </w:pPr>
      <w:r>
        <w:separator/>
      </w:r>
    </w:p>
  </w:footnote>
  <w:footnote w:type="continuationSeparator" w:id="0">
    <w:p w:rsidR="009C7A7C" w:rsidRDefault="009C7A7C" w:rsidP="00DA5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93"/>
    <w:rsid w:val="0000296F"/>
    <w:rsid w:val="00026473"/>
    <w:rsid w:val="00026D30"/>
    <w:rsid w:val="00034233"/>
    <w:rsid w:val="000346A1"/>
    <w:rsid w:val="00082D33"/>
    <w:rsid w:val="000D0735"/>
    <w:rsid w:val="00127458"/>
    <w:rsid w:val="00141948"/>
    <w:rsid w:val="00180AC4"/>
    <w:rsid w:val="001826B8"/>
    <w:rsid w:val="00193A16"/>
    <w:rsid w:val="001A5E85"/>
    <w:rsid w:val="001C6405"/>
    <w:rsid w:val="001E7A25"/>
    <w:rsid w:val="00212D6F"/>
    <w:rsid w:val="00216314"/>
    <w:rsid w:val="0023788A"/>
    <w:rsid w:val="002E206F"/>
    <w:rsid w:val="002F186E"/>
    <w:rsid w:val="002F4E68"/>
    <w:rsid w:val="00306B65"/>
    <w:rsid w:val="00306B89"/>
    <w:rsid w:val="003462B7"/>
    <w:rsid w:val="00370EC6"/>
    <w:rsid w:val="00381504"/>
    <w:rsid w:val="003A13C4"/>
    <w:rsid w:val="003A4E9D"/>
    <w:rsid w:val="003C361D"/>
    <w:rsid w:val="003E0741"/>
    <w:rsid w:val="0040086A"/>
    <w:rsid w:val="00472A90"/>
    <w:rsid w:val="00486705"/>
    <w:rsid w:val="00487631"/>
    <w:rsid w:val="004A3F64"/>
    <w:rsid w:val="004C23FA"/>
    <w:rsid w:val="004F3396"/>
    <w:rsid w:val="005056E9"/>
    <w:rsid w:val="00511E9A"/>
    <w:rsid w:val="00570EF8"/>
    <w:rsid w:val="0058153D"/>
    <w:rsid w:val="005C281F"/>
    <w:rsid w:val="005D65F8"/>
    <w:rsid w:val="005D78B9"/>
    <w:rsid w:val="0063505A"/>
    <w:rsid w:val="00651CC9"/>
    <w:rsid w:val="0065291C"/>
    <w:rsid w:val="00652DBB"/>
    <w:rsid w:val="0066216A"/>
    <w:rsid w:val="006740A7"/>
    <w:rsid w:val="006B0367"/>
    <w:rsid w:val="006C1416"/>
    <w:rsid w:val="006D1E3E"/>
    <w:rsid w:val="006D259E"/>
    <w:rsid w:val="006E3104"/>
    <w:rsid w:val="00706D2B"/>
    <w:rsid w:val="0072244D"/>
    <w:rsid w:val="00746D93"/>
    <w:rsid w:val="0078514E"/>
    <w:rsid w:val="007E3859"/>
    <w:rsid w:val="0080611E"/>
    <w:rsid w:val="00851443"/>
    <w:rsid w:val="00887CA1"/>
    <w:rsid w:val="008D58F1"/>
    <w:rsid w:val="008D7026"/>
    <w:rsid w:val="008E029E"/>
    <w:rsid w:val="009235ED"/>
    <w:rsid w:val="009462AA"/>
    <w:rsid w:val="009A4333"/>
    <w:rsid w:val="009C7A7C"/>
    <w:rsid w:val="009E3E7F"/>
    <w:rsid w:val="009E7F30"/>
    <w:rsid w:val="00A231E2"/>
    <w:rsid w:val="00A4585D"/>
    <w:rsid w:val="00A96057"/>
    <w:rsid w:val="00AB0E75"/>
    <w:rsid w:val="00AB54EB"/>
    <w:rsid w:val="00AB6C15"/>
    <w:rsid w:val="00AC2128"/>
    <w:rsid w:val="00B11C22"/>
    <w:rsid w:val="00B40A76"/>
    <w:rsid w:val="00B63C21"/>
    <w:rsid w:val="00B71293"/>
    <w:rsid w:val="00B81B3A"/>
    <w:rsid w:val="00B83A08"/>
    <w:rsid w:val="00BA65AD"/>
    <w:rsid w:val="00C168EB"/>
    <w:rsid w:val="00C35C4F"/>
    <w:rsid w:val="00C462C6"/>
    <w:rsid w:val="00C52566"/>
    <w:rsid w:val="00C70E4A"/>
    <w:rsid w:val="00C70F8B"/>
    <w:rsid w:val="00C82F72"/>
    <w:rsid w:val="00C86BD0"/>
    <w:rsid w:val="00CB726F"/>
    <w:rsid w:val="00CC7B12"/>
    <w:rsid w:val="00CF3294"/>
    <w:rsid w:val="00D01237"/>
    <w:rsid w:val="00D04FED"/>
    <w:rsid w:val="00D17127"/>
    <w:rsid w:val="00D31EEB"/>
    <w:rsid w:val="00D33ACE"/>
    <w:rsid w:val="00D64DA9"/>
    <w:rsid w:val="00D8718F"/>
    <w:rsid w:val="00D91EFD"/>
    <w:rsid w:val="00DA5922"/>
    <w:rsid w:val="00DB7C0F"/>
    <w:rsid w:val="00DC0CF1"/>
    <w:rsid w:val="00DC508C"/>
    <w:rsid w:val="00E9054B"/>
    <w:rsid w:val="00E96950"/>
    <w:rsid w:val="00E974F2"/>
    <w:rsid w:val="00EB56E1"/>
    <w:rsid w:val="00ED4CFF"/>
    <w:rsid w:val="00EE1893"/>
    <w:rsid w:val="00F12E85"/>
    <w:rsid w:val="00F158D7"/>
    <w:rsid w:val="00F67516"/>
    <w:rsid w:val="00F9260D"/>
    <w:rsid w:val="00F951E4"/>
    <w:rsid w:val="00FC1163"/>
    <w:rsid w:val="00FC6203"/>
    <w:rsid w:val="00FD6561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C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4EB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A592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A592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A592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A592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0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0367"/>
  </w:style>
  <w:style w:type="paragraph" w:styleId="Rodap">
    <w:name w:val="footer"/>
    <w:basedOn w:val="Normal"/>
    <w:link w:val="RodapChar"/>
    <w:uiPriority w:val="99"/>
    <w:unhideWhenUsed/>
    <w:rsid w:val="006B0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03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C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4EB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A592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A592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A592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A592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0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0367"/>
  </w:style>
  <w:style w:type="paragraph" w:styleId="Rodap">
    <w:name w:val="footer"/>
    <w:basedOn w:val="Normal"/>
    <w:link w:val="RodapChar"/>
    <w:uiPriority w:val="99"/>
    <w:unhideWhenUsed/>
    <w:rsid w:val="006B0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0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2B79D-3CFC-44FB-A1D2-513CC7F7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1168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12</cp:revision>
  <cp:lastPrinted>2019-03-20T12:09:00Z</cp:lastPrinted>
  <dcterms:created xsi:type="dcterms:W3CDTF">2019-03-19T11:57:00Z</dcterms:created>
  <dcterms:modified xsi:type="dcterms:W3CDTF">2019-03-29T14:20:00Z</dcterms:modified>
</cp:coreProperties>
</file>